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0"/>
      </w:pPr>
    </w:p>
    <w:p>
      <w:pPr>
        <w:spacing w:after="60"/>
        <w:jc w:val="center"/>
      </w:pPr>
      <w:r>
        <w:drawing>
          <wp:inline distT="0" distB="0" distL="0" distR="0">
            <wp:extent cx="1619250"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19250" cy="1619250"/>
                    </a:xfrm>
                    <a:prstGeom prst="rect">
                      <a:avLst/>
                    </a:prstGeom>
                  </pic:spPr>
                </pic:pic>
              </a:graphicData>
            </a:graphic>
          </wp:inline>
        </w:drawing>
      </w:r>
    </w:p>
    <w:p>
      <w:pPr>
        <w:spacing w:after="160"/>
        <w:jc w:val="center"/>
      </w:pPr>
      <w:r>
        <w:rPr>
          <w:rFonts w:ascii="Ranade" w:cs="Ranade" w:eastAsia="Ranade" w:hAnsi="Ranade"/>
          <w:b/>
          <w:bCs/>
          <w:color w:val="F24DA0"/>
          <w:spacing w:val="30"/>
          <w:sz w:val="17"/>
          <w:szCs w:val="17"/>
        </w:rPr>
        <w:t xml:space="preserve">TEMPLATE FOR OUR CLIENTS · VORLAGE FÜR UNSERE KUNDEN</w:t>
      </w:r>
    </w:p>
    <w:p>
      <w:pPr>
        <w:spacing w:after="140"/>
        <w:jc w:val="center"/>
      </w:pPr>
      <w:r>
        <w:rPr>
          <w:rFonts w:ascii="Ranade" w:cs="Ranade" w:eastAsia="Ranade" w:hAnsi="Ranade"/>
          <w:b/>
          <w:bCs/>
          <w:color w:val="0B0710"/>
          <w:sz w:val="52"/>
          <w:szCs w:val="52"/>
        </w:rPr>
        <w:t xml:space="preserve">Data Processing Agreement</w:t>
      </w:r>
    </w:p>
    <w:p>
      <w:pPr>
        <w:spacing w:after="60"/>
        <w:jc w:val="center"/>
      </w:pPr>
      <w:r>
        <w:rPr>
          <w:rFonts w:ascii="Satoshi" w:cs="Satoshi" w:eastAsia="Satoshi" w:hAnsi="Satoshi"/>
          <w:color w:val="6E6280"/>
          <w:sz w:val="22"/>
          <w:szCs w:val="22"/>
        </w:rPr>
        <w:t xml:space="preserve">pursuant to Art. 28 GDPR (“DPA”) · Vereinbarung über die Auftragsverarbeitung nach Art. 28 DSGVO („AVV“)</w:t>
      </w:r>
    </w:p>
    <w:p>
      <w:pPr>
        <w:spacing w:after="420"/>
        <w:jc w:val="center"/>
      </w:pPr>
      <w:r>
        <w:rPr>
          <w:rFonts w:ascii="Satoshi" w:cs="Satoshi" w:eastAsia="Satoshi" w:hAnsi="Satoshi"/>
          <w:color w:val="6E6280"/>
          <w:sz w:val="19"/>
          <w:szCs w:val="19"/>
        </w:rPr>
        <w:t xml:space="preserve">Contract language: English. A German convenience translation is included in this document. · Vertragssprache Englisch, deutsche Lesefassung im zweiten Teil dieses Dokuments.</w:t>
      </w:r>
    </w:p>
    <w:tbl>
      <w:tblPr>
        <w:tblW w:type="dxa" w:w="9026"/>
        <w:tblBorders>
          <w:top w:val="single" w:color="E7DFF0" w:sz="4"/>
          <w:left w:val="single" w:color="E7DFF0" w:sz="4"/>
          <w:bottom w:val="single" w:color="E7DFF0" w:sz="4"/>
          <w:right w:val="single" w:color="E7DFF0" w:sz="4"/>
          <w:insideH w:val="single" w:color="auto" w:sz="4"/>
          <w:insideV w:val="single" w:color="auto" w:sz="4"/>
        </w:tblBorders>
        <w:tblCellMar>
          <w:top w:type="dxa" w:w="220"/>
          <w:left w:type="dxa" w:w="300"/>
          <w:bottom w:type="dxa" w:w="220"/>
          <w:right w:type="dxa" w:w="300"/>
        </w:tblCellMar>
      </w:tblPr>
      <w:tblGrid>
        <w:gridCol w:w="9026"/>
      </w:tblGrid>
      <w:tr>
        <w:tc>
          <w:tcPr>
            <w:tcW w:type="dxa" w:w="9026"/>
            <w:shd w:fill="FAF7FD" w:val="clear"/>
          </w:tcPr>
          <w:p>
            <w:pPr>
              <w:spacing w:after="140"/>
            </w:pPr>
            <w:r>
              <w:rPr>
                <w:rFonts w:ascii="Ranade" w:cs="Ranade" w:eastAsia="Ranade" w:hAnsi="Ranade"/>
                <w:b/>
                <w:bCs/>
                <w:color w:val="0B0710"/>
                <w:sz w:val="24"/>
                <w:szCs w:val="24"/>
              </w:rPr>
              <w:t xml:space="preserve">How it works · So funktioniert es</w:t>
            </w:r>
          </w:p>
          <w:p>
            <w:pPr>
              <w:spacing w:after="20" w:line="290"/>
              <w:jc w:val="left"/>
            </w:pPr>
            <w:r>
              <w:rPr>
                <w:rFonts w:ascii="Ranade" w:cs="Ranade" w:eastAsia="Ranade" w:hAnsi="Ranade"/>
                <w:b/>
                <w:bCs/>
                <w:color w:val="F24DA0"/>
                <w:sz w:val="21"/>
                <w:szCs w:val="21"/>
              </w:rPr>
              <w:t xml:space="preserve">1  </w:t>
            </w:r>
            <w:r>
              <w:rPr>
                <w:rFonts w:ascii="Satoshi" w:cs="Satoshi" w:eastAsia="Satoshi" w:hAnsi="Satoshi"/>
                <w:b/>
                <w:bCs/>
                <w:color w:val="221A2C"/>
                <w:sz w:val="21"/>
                <w:szCs w:val="21"/>
              </w:rPr>
              <w:t xml:space="preserve">Fill in: </w:t>
            </w:r>
            <w:r>
              <w:rPr>
                <w:rFonts w:ascii="Satoshi" w:cs="Satoshi" w:eastAsia="Satoshi" w:hAnsi="Satoshi"/>
                <w:color w:val="221A2C"/>
                <w:sz w:val="21"/>
                <w:szCs w:val="21"/>
              </w:rPr>
              <w:t xml:space="preserve">Enter your company details in the “Contracting Parties” section and check that Annexes 1 to 3 match your project.</w:t>
            </w:r>
          </w:p>
          <w:p>
            <w:pPr>
              <w:spacing w:after="140" w:line="270"/>
              <w:jc w:val="left"/>
            </w:pPr>
            <w:r>
              <w:rPr>
                <w:rFonts w:ascii="Satoshi" w:cs="Satoshi" w:eastAsia="Satoshi" w:hAnsi="Satoshi"/>
                <w:b/>
                <w:bCs/>
                <w:color w:val="6E6280"/>
                <w:sz w:val="19"/>
                <w:szCs w:val="19"/>
              </w:rPr>
              <w:t xml:space="preserve">     Ausfüllen: </w:t>
            </w:r>
            <w:r>
              <w:rPr>
                <w:rFonts w:ascii="Satoshi" w:cs="Satoshi" w:eastAsia="Satoshi" w:hAnsi="Satoshi"/>
                <w:color w:val="6E6280"/>
                <w:sz w:val="19"/>
                <w:szCs w:val="19"/>
              </w:rPr>
              <w:t xml:space="preserve">Tragen Sie Ihre Firmendaten im Abschnitt “Contracting Parties” ein und prüfen Sie, ob die Annexes 1 bis 3 zu Ihrem Projekt passen.</w:t>
            </w:r>
          </w:p>
          <w:p>
            <w:pPr>
              <w:spacing w:after="20" w:line="290"/>
              <w:jc w:val="left"/>
            </w:pPr>
            <w:r>
              <w:rPr>
                <w:rFonts w:ascii="Ranade" w:cs="Ranade" w:eastAsia="Ranade" w:hAnsi="Ranade"/>
                <w:b/>
                <w:bCs/>
                <w:color w:val="F24DA0"/>
                <w:sz w:val="21"/>
                <w:szCs w:val="21"/>
              </w:rPr>
              <w:t xml:space="preserve">2  </w:t>
            </w:r>
            <w:r>
              <w:rPr>
                <w:rFonts w:ascii="Satoshi" w:cs="Satoshi" w:eastAsia="Satoshi" w:hAnsi="Satoshi"/>
                <w:b/>
                <w:bCs/>
                <w:color w:val="221A2C"/>
                <w:sz w:val="21"/>
                <w:szCs w:val="21"/>
              </w:rPr>
              <w:t xml:space="preserve">Sign: </w:t>
            </w:r>
            <w:r>
              <w:rPr>
                <w:rFonts w:ascii="Satoshi" w:cs="Satoshi" w:eastAsia="Satoshi" w:hAnsi="Satoshi"/>
                <w:color w:val="221A2C"/>
                <w:sz w:val="21"/>
                <w:szCs w:val="21"/>
              </w:rPr>
              <w:t xml:space="preserve">Sign at the end of the English contract (before Annex 1), adding place and date.</w:t>
            </w:r>
          </w:p>
          <w:p>
            <w:pPr>
              <w:spacing w:after="140" w:line="270"/>
              <w:jc w:val="left"/>
            </w:pPr>
            <w:r>
              <w:rPr>
                <w:rFonts w:ascii="Satoshi" w:cs="Satoshi" w:eastAsia="Satoshi" w:hAnsi="Satoshi"/>
                <w:b/>
                <w:bCs/>
                <w:color w:val="6E6280"/>
                <w:sz w:val="19"/>
                <w:szCs w:val="19"/>
              </w:rPr>
              <w:t xml:space="preserve">     Unterschreiben: </w:t>
            </w:r>
            <w:r>
              <w:rPr>
                <w:rFonts w:ascii="Satoshi" w:cs="Satoshi" w:eastAsia="Satoshi" w:hAnsi="Satoshi"/>
                <w:color w:val="6E6280"/>
                <w:sz w:val="19"/>
                <w:szCs w:val="19"/>
              </w:rPr>
              <w:t xml:space="preserve">Unterschreiben Sie am Ende der englischen Fassung (vor Annex 1) mit Ort und Datum.</w:t>
            </w:r>
          </w:p>
          <w:p>
            <w:pPr>
              <w:spacing w:after="20" w:line="290"/>
              <w:jc w:val="left"/>
            </w:pPr>
            <w:r>
              <w:rPr>
                <w:rFonts w:ascii="Ranade" w:cs="Ranade" w:eastAsia="Ranade" w:hAnsi="Ranade"/>
                <w:b/>
                <w:bCs/>
                <w:color w:val="F24DA0"/>
                <w:sz w:val="21"/>
                <w:szCs w:val="21"/>
              </w:rPr>
              <w:t xml:space="preserve">3  </w:t>
            </w:r>
            <w:r>
              <w:rPr>
                <w:rFonts w:ascii="Satoshi" w:cs="Satoshi" w:eastAsia="Satoshi" w:hAnsi="Satoshi"/>
                <w:b/>
                <w:bCs/>
                <w:color w:val="221A2C"/>
                <w:sz w:val="21"/>
                <w:szCs w:val="21"/>
              </w:rPr>
              <w:t xml:space="preserve">Return: </w:t>
            </w:r>
            <w:r>
              <w:rPr>
                <w:rFonts w:ascii="Satoshi" w:cs="Satoshi" w:eastAsia="Satoshi" w:hAnsi="Satoshi"/>
                <w:color w:val="221A2C"/>
                <w:sz w:val="21"/>
                <w:szCs w:val="21"/>
              </w:rPr>
              <w:t xml:space="preserve">Send the signed copy as a PDF to info@bestlifeagency.com. We will countersign and return your fully executed copy.</w:t>
            </w:r>
          </w:p>
          <w:p>
            <w:pPr>
              <w:spacing w:after="0" w:line="270"/>
              <w:jc w:val="left"/>
            </w:pPr>
            <w:r>
              <w:rPr>
                <w:rFonts w:ascii="Satoshi" w:cs="Satoshi" w:eastAsia="Satoshi" w:hAnsi="Satoshi"/>
                <w:b/>
                <w:bCs/>
                <w:color w:val="6E6280"/>
                <w:sz w:val="19"/>
                <w:szCs w:val="19"/>
              </w:rPr>
              <w:t xml:space="preserve">     Zurücksenden: </w:t>
            </w:r>
            <w:r>
              <w:rPr>
                <w:rFonts w:ascii="Satoshi" w:cs="Satoshi" w:eastAsia="Satoshi" w:hAnsi="Satoshi"/>
                <w:color w:val="6E6280"/>
                <w:sz w:val="19"/>
                <w:szCs w:val="19"/>
              </w:rPr>
              <w:t xml:space="preserve">Senden Sie das unterschriebene Exemplar als PDF an info@bestlifeagency.com. Wir zeichnen gegen und Sie erhalten Ihr vollständig unterschriebenes Exemplar zurück.</w:t>
            </w:r>
          </w:p>
        </w:tc>
      </w:tr>
    </w:tbl>
    <w:p>
      <w:pPr>
        <w:spacing w:after="280"/>
      </w:pPr>
    </w:p>
    <w:p>
      <w:pPr>
        <w:spacing w:after="60"/>
        <w:jc w:val="center"/>
      </w:pPr>
      <w:r>
        <w:rPr>
          <w:rFonts w:ascii="Satoshi" w:cs="Satoshi" w:eastAsia="Satoshi" w:hAnsi="Satoshi"/>
          <w:color w:val="6E6280"/>
          <w:sz w:val="18"/>
          <w:szCs w:val="18"/>
        </w:rPr>
        <w:t xml:space="preserve">As of: August 2026 · Version 1.1</w:t>
      </w:r>
    </w:p>
    <w:p>
      <w:pPr>
        <w:jc w:val="center"/>
      </w:pPr>
      <w:r>
        <w:rPr>
          <w:rFonts w:ascii="Satoshi" w:cs="Satoshi" w:eastAsia="Satoshi" w:hAnsi="Satoshi"/>
          <w:color w:val="6E6280"/>
          <w:sz w:val="18"/>
          <w:szCs w:val="18"/>
        </w:rPr>
        <w:t xml:space="preserve">Questions? Fragen? info@bestlifeagency.com</w:t>
      </w:r>
    </w:p>
    <w:p>
      <w:pPr>
        <w:pageBreakBefore/>
        <w:spacing w:after="200" w:before="0"/>
      </w:pPr>
      <w:r>
        <w:rPr>
          <w:rFonts w:ascii="Ranade" w:cs="Ranade" w:eastAsia="Ranade" w:hAnsi="Ranade"/>
          <w:b/>
          <w:bCs/>
          <w:color w:val="0B0710"/>
          <w:sz w:val="32"/>
          <w:szCs w:val="32"/>
        </w:rPr>
        <w:t xml:space="preserve">Contracting Parties</w:t>
      </w:r>
    </w:p>
    <w:p>
      <w:pPr>
        <w:spacing w:after="120" w:line="300"/>
        <w:jc w:val="both"/>
      </w:pPr>
      <w:r>
        <w:rPr>
          <w:rFonts w:ascii="Satoshi" w:cs="Satoshi" w:eastAsia="Satoshi" w:hAnsi="Satoshi"/>
          <w:color w:val="221A2C"/>
          <w:sz w:val="21"/>
          <w:szCs w:val="21"/>
        </w:rPr>
        <w:t xml:space="preserve">This agreement on the processing of personal data on behalf of a controller (the “Agreement” or “DPA”) is entered into between</w:t>
      </w:r>
    </w:p>
    <w:p>
      <w:pPr>
        <w:spacing w:after="40"/>
      </w:pPr>
    </w:p>
    <w:tbl>
      <w:tblPr>
        <w:tblW w:type="dxa" w:w="9026"/>
        <w:tblBorders>
          <w:top w:val="none" w:color="FFFFFF" w:sz="0"/>
          <w:left w:val="none" w:color="FFFFFF" w:sz="0"/>
          <w:bottom w:val="none" w:color="FFFFFF" w:sz="0"/>
          <w:right w:val="none" w:color="FFFFFF" w:sz="0"/>
          <w:insideH w:val="single" w:color="auto" w:sz="4"/>
          <w:insideV w:val="single" w:color="auto" w:sz="4"/>
        </w:tblBorders>
        <w:tblCellMar>
          <w:top w:type="dxa" w:w="60"/>
          <w:left w:type="dxa" w:w="120"/>
          <w:bottom w:type="dxa" w:w="60"/>
          <w:right w:type="dxa" w:w="120"/>
        </w:tblCellMar>
      </w:tblPr>
      <w:tblGrid>
        <w:gridCol w:w="2800"/>
        <w:gridCol w:w="6226"/>
      </w:tblGrid>
      <w:tr>
        <w:trPr>
          <w:trHeight w:val="460" w:hRule="atLeast"/>
        </w:trPr>
        <w:tc>
          <w:tcPr>
            <w:tcW w:type="dxa" w:w="2800"/>
            <w:tcBorders>
              <w:top w:val="none" w:color="FFFFFF" w:sz="0"/>
              <w:left w:val="none" w:color="FFFFFF" w:sz="0"/>
              <w:bottom w:val="none" w:color="FFFFFF" w:sz="0"/>
              <w:right w:val="none" w:color="FFFFFF" w:sz="0"/>
            </w:tcBorders>
            <w:vAlign w:val="center"/>
          </w:tcPr>
          <w:p>
            <w:pPr>
              <w:spacing w:after="0"/>
            </w:pPr>
            <w:r>
              <w:rPr>
                <w:rFonts w:ascii="Satoshi" w:cs="Satoshi" w:eastAsia="Satoshi" w:hAnsi="Satoshi"/>
                <w:color w:val="6E6280"/>
                <w:sz w:val="19"/>
                <w:szCs w:val="19"/>
              </w:rPr>
              <w:t xml:space="preserve">Company</w:t>
            </w:r>
          </w:p>
        </w:tc>
        <w:tc>
          <w:tcPr>
            <w:tcW w:type="dxa" w:w="6226"/>
            <w:tcBorders>
              <w:top w:val="single" w:color="E7DFF0" w:sz="4"/>
              <w:left w:val="single" w:color="E7DFF0" w:sz="4"/>
              <w:bottom w:val="single" w:color="E7DFF0" w:sz="4"/>
              <w:right w:val="single" w:color="E7DFF0" w:sz="4"/>
            </w:tcBorders>
            <w:shd w:fill="FAF7FD" w:val="clear"/>
            <w:vAlign w:val="center"/>
          </w:tcPr>
          <w:p>
            <w:pPr>
              <w:spacing w:after="0"/>
            </w:pPr>
          </w:p>
        </w:tc>
      </w:tr>
      <w:tr>
        <w:trPr>
          <w:trHeight w:val="460" w:hRule="atLeast"/>
        </w:trPr>
        <w:tc>
          <w:tcPr>
            <w:tcW w:type="dxa" w:w="2800"/>
            <w:tcBorders>
              <w:top w:val="none" w:color="FFFFFF" w:sz="0"/>
              <w:left w:val="none" w:color="FFFFFF" w:sz="0"/>
              <w:bottom w:val="none" w:color="FFFFFF" w:sz="0"/>
              <w:right w:val="none" w:color="FFFFFF" w:sz="0"/>
            </w:tcBorders>
            <w:vAlign w:val="center"/>
          </w:tcPr>
          <w:p>
            <w:pPr>
              <w:spacing w:after="0"/>
            </w:pPr>
            <w:r>
              <w:rPr>
                <w:rFonts w:ascii="Satoshi" w:cs="Satoshi" w:eastAsia="Satoshi" w:hAnsi="Satoshi"/>
                <w:color w:val="6E6280"/>
                <w:sz w:val="19"/>
                <w:szCs w:val="19"/>
              </w:rPr>
              <w:t xml:space="preserve">Street, number</w:t>
            </w:r>
          </w:p>
        </w:tc>
        <w:tc>
          <w:tcPr>
            <w:tcW w:type="dxa" w:w="6226"/>
            <w:tcBorders>
              <w:top w:val="single" w:color="E7DFF0" w:sz="4"/>
              <w:left w:val="single" w:color="E7DFF0" w:sz="4"/>
              <w:bottom w:val="single" w:color="E7DFF0" w:sz="4"/>
              <w:right w:val="single" w:color="E7DFF0" w:sz="4"/>
            </w:tcBorders>
            <w:shd w:fill="FAF7FD" w:val="clear"/>
            <w:vAlign w:val="center"/>
          </w:tcPr>
          <w:p>
            <w:pPr>
              <w:spacing w:after="0"/>
            </w:pPr>
          </w:p>
        </w:tc>
      </w:tr>
      <w:tr>
        <w:trPr>
          <w:trHeight w:val="460" w:hRule="atLeast"/>
        </w:trPr>
        <w:tc>
          <w:tcPr>
            <w:tcW w:type="dxa" w:w="2800"/>
            <w:tcBorders>
              <w:top w:val="none" w:color="FFFFFF" w:sz="0"/>
              <w:left w:val="none" w:color="FFFFFF" w:sz="0"/>
              <w:bottom w:val="none" w:color="FFFFFF" w:sz="0"/>
              <w:right w:val="none" w:color="FFFFFF" w:sz="0"/>
            </w:tcBorders>
            <w:vAlign w:val="center"/>
          </w:tcPr>
          <w:p>
            <w:pPr>
              <w:spacing w:after="0"/>
            </w:pPr>
            <w:r>
              <w:rPr>
                <w:rFonts w:ascii="Satoshi" w:cs="Satoshi" w:eastAsia="Satoshi" w:hAnsi="Satoshi"/>
                <w:color w:val="6E6280"/>
                <w:sz w:val="19"/>
                <w:szCs w:val="19"/>
              </w:rPr>
              <w:t xml:space="preserve">Postal code, city, country</w:t>
            </w:r>
          </w:p>
        </w:tc>
        <w:tc>
          <w:tcPr>
            <w:tcW w:type="dxa" w:w="6226"/>
            <w:tcBorders>
              <w:top w:val="single" w:color="E7DFF0" w:sz="4"/>
              <w:left w:val="single" w:color="E7DFF0" w:sz="4"/>
              <w:bottom w:val="single" w:color="E7DFF0" w:sz="4"/>
              <w:right w:val="single" w:color="E7DFF0" w:sz="4"/>
            </w:tcBorders>
            <w:shd w:fill="FAF7FD" w:val="clear"/>
            <w:vAlign w:val="center"/>
          </w:tcPr>
          <w:p>
            <w:pPr>
              <w:spacing w:after="0"/>
            </w:pPr>
          </w:p>
        </w:tc>
      </w:tr>
      <w:tr>
        <w:trPr>
          <w:trHeight w:val="460" w:hRule="atLeast"/>
        </w:trPr>
        <w:tc>
          <w:tcPr>
            <w:tcW w:type="dxa" w:w="2800"/>
            <w:tcBorders>
              <w:top w:val="none" w:color="FFFFFF" w:sz="0"/>
              <w:left w:val="none" w:color="FFFFFF" w:sz="0"/>
              <w:bottom w:val="none" w:color="FFFFFF" w:sz="0"/>
              <w:right w:val="none" w:color="FFFFFF" w:sz="0"/>
            </w:tcBorders>
            <w:vAlign w:val="center"/>
          </w:tcPr>
          <w:p>
            <w:pPr>
              <w:spacing w:after="0"/>
            </w:pPr>
            <w:r>
              <w:rPr>
                <w:rFonts w:ascii="Satoshi" w:cs="Satoshi" w:eastAsia="Satoshi" w:hAnsi="Satoshi"/>
                <w:color w:val="6E6280"/>
                <w:sz w:val="19"/>
                <w:szCs w:val="19"/>
              </w:rPr>
              <w:t xml:space="preserve">Represented by</w:t>
            </w:r>
          </w:p>
        </w:tc>
        <w:tc>
          <w:tcPr>
            <w:tcW w:type="dxa" w:w="6226"/>
            <w:tcBorders>
              <w:top w:val="single" w:color="E7DFF0" w:sz="4"/>
              <w:left w:val="single" w:color="E7DFF0" w:sz="4"/>
              <w:bottom w:val="single" w:color="E7DFF0" w:sz="4"/>
              <w:right w:val="single" w:color="E7DFF0" w:sz="4"/>
            </w:tcBorders>
            <w:shd w:fill="FAF7FD" w:val="clear"/>
            <w:vAlign w:val="center"/>
          </w:tcPr>
          <w:p>
            <w:pPr>
              <w:spacing w:after="0"/>
            </w:pPr>
          </w:p>
        </w:tc>
      </w:tr>
      <w:tr>
        <w:trPr>
          <w:trHeight w:val="460" w:hRule="atLeast"/>
        </w:trPr>
        <w:tc>
          <w:tcPr>
            <w:tcW w:type="dxa" w:w="2800"/>
            <w:tcBorders>
              <w:top w:val="none" w:color="FFFFFF" w:sz="0"/>
              <w:left w:val="none" w:color="FFFFFF" w:sz="0"/>
              <w:bottom w:val="none" w:color="FFFFFF" w:sz="0"/>
              <w:right w:val="none" w:color="FFFFFF" w:sz="0"/>
            </w:tcBorders>
            <w:vAlign w:val="center"/>
          </w:tcPr>
          <w:p>
            <w:pPr>
              <w:spacing w:after="0"/>
            </w:pPr>
            <w:r>
              <w:rPr>
                <w:rFonts w:ascii="Satoshi" w:cs="Satoshi" w:eastAsia="Satoshi" w:hAnsi="Satoshi"/>
                <w:color w:val="6E6280"/>
                <w:sz w:val="19"/>
                <w:szCs w:val="19"/>
              </w:rPr>
              <w:t xml:space="preserve">Email</w:t>
            </w:r>
          </w:p>
        </w:tc>
        <w:tc>
          <w:tcPr>
            <w:tcW w:type="dxa" w:w="6226"/>
            <w:tcBorders>
              <w:top w:val="single" w:color="E7DFF0" w:sz="4"/>
              <w:left w:val="single" w:color="E7DFF0" w:sz="4"/>
              <w:bottom w:val="single" w:color="E7DFF0" w:sz="4"/>
              <w:right w:val="single" w:color="E7DFF0" w:sz="4"/>
            </w:tcBorders>
            <w:shd w:fill="FAF7FD" w:val="clear"/>
            <w:vAlign w:val="center"/>
          </w:tcPr>
          <w:p>
            <w:pPr>
              <w:spacing w:after="0"/>
            </w:pPr>
          </w:p>
        </w:tc>
      </w:tr>
    </w:tbl>
    <w:p>
      <w:pPr>
        <w:spacing w:after="60"/>
      </w:pPr>
    </w:p>
    <w:p>
      <w:pPr>
        <w:spacing w:after="120" w:line="300"/>
        <w:jc w:val="both"/>
      </w:pPr>
      <w:r>
        <w:rPr>
          <w:rFonts w:ascii="Satoshi" w:cs="Satoshi" w:eastAsia="Satoshi" w:hAnsi="Satoshi"/>
          <w:color w:val="221A2C"/>
          <w:sz w:val="21"/>
          <w:szCs w:val="21"/>
        </w:rPr>
        <w:t xml:space="preserve">hereinafter the </w:t>
      </w:r>
      <w:r>
        <w:rPr>
          <w:rFonts w:ascii="Satoshi" w:cs="Satoshi" w:eastAsia="Satoshi" w:hAnsi="Satoshi"/>
          <w:b/>
          <w:bCs/>
          <w:color w:val="221A2C"/>
          <w:sz w:val="21"/>
          <w:szCs w:val="21"/>
        </w:rPr>
        <w:t xml:space="preserve">“Client”</w:t>
      </w:r>
      <w:r>
        <w:rPr>
          <w:rFonts w:ascii="Satoshi" w:cs="Satoshi" w:eastAsia="Satoshi" w:hAnsi="Satoshi"/>
          <w:color w:val="221A2C"/>
          <w:sz w:val="21"/>
          <w:szCs w:val="21"/>
        </w:rPr>
        <w:t xml:space="preserve"> (controller within the meaning of Art. 4(7) GDPR)</w:t>
      </w:r>
    </w:p>
    <w:p>
      <w:pPr>
        <w:spacing w:after="60" w:line="300"/>
        <w:jc w:val="both"/>
      </w:pPr>
      <w:r>
        <w:rPr>
          <w:rFonts w:ascii="Satoshi" w:cs="Satoshi" w:eastAsia="Satoshi" w:hAnsi="Satoshi"/>
          <w:color w:val="221A2C"/>
          <w:sz w:val="21"/>
          <w:szCs w:val="21"/>
        </w:rPr>
        <w:t xml:space="preserve">and</w:t>
      </w:r>
    </w:p>
    <w:p>
      <w:pPr>
        <w:spacing w:after="60" w:line="300"/>
      </w:pPr>
      <w:r>
        <w:rPr>
          <w:rFonts w:ascii="Satoshi" w:cs="Satoshi" w:eastAsia="Satoshi" w:hAnsi="Satoshi"/>
          <w:b/>
          <w:bCs/>
          <w:color w:val="221A2C"/>
          <w:sz w:val="21"/>
          <w:szCs w:val="21"/>
        </w:rPr>
        <w:t xml:space="preserve">Best Life Agency LLC</w:t>
      </w:r>
      <w:r>
        <w:rPr>
          <w:rFonts w:ascii="Satoshi" w:cs="Satoshi" w:eastAsia="Satoshi" w:hAnsi="Satoshi"/>
          <w:color w:val="221A2C"/>
          <w:sz w:val="21"/>
          <w:szCs w:val="21"/>
        </w:rPr>
        <w:t xml:space="preserve">, 30 N Gould St, Ste R, Sheridan, WY 82801, USA,</w:t>
      </w:r>
    </w:p>
    <w:p>
      <w:pPr>
        <w:spacing w:after="120" w:line="300"/>
        <w:jc w:val="both"/>
      </w:pPr>
      <w:r>
        <w:rPr>
          <w:rFonts w:ascii="Satoshi" w:cs="Satoshi" w:eastAsia="Satoshi" w:hAnsi="Satoshi"/>
          <w:color w:val="221A2C"/>
          <w:sz w:val="21"/>
          <w:szCs w:val="21"/>
        </w:rPr>
        <w:t xml:space="preserve">registered in the US State of Wyoming (Filing ID 2024-001491464), represented by Kenneth Beller (Managing Member), email: info@bestlifeagency.com,</w:t>
      </w:r>
    </w:p>
    <w:p>
      <w:pPr>
        <w:spacing w:after="120" w:line="300"/>
        <w:jc w:val="both"/>
      </w:pPr>
      <w:r>
        <w:rPr>
          <w:rFonts w:ascii="Satoshi" w:cs="Satoshi" w:eastAsia="Satoshi" w:hAnsi="Satoshi"/>
          <w:color w:val="221A2C"/>
          <w:sz w:val="21"/>
          <w:szCs w:val="21"/>
        </w:rPr>
        <w:t xml:space="preserve">hereinafter the </w:t>
      </w:r>
      <w:r>
        <w:rPr>
          <w:rFonts w:ascii="Satoshi" w:cs="Satoshi" w:eastAsia="Satoshi" w:hAnsi="Satoshi"/>
          <w:b/>
          <w:bCs/>
          <w:color w:val="221A2C"/>
          <w:sz w:val="21"/>
          <w:szCs w:val="21"/>
        </w:rPr>
        <w:t xml:space="preserve">“Processor”</w:t>
      </w:r>
      <w:r>
        <w:rPr>
          <w:rFonts w:ascii="Satoshi" w:cs="Satoshi" w:eastAsia="Satoshi" w:hAnsi="Satoshi"/>
          <w:color w:val="221A2C"/>
          <w:sz w:val="21"/>
          <w:szCs w:val="21"/>
        </w:rPr>
        <w:t xml:space="preserve"> (processor within the meaning of Art. 4(8) GDPR); Client and Processor together the “Parties”.</w:t>
      </w:r>
    </w:p>
    <w:p>
      <w:pPr>
        <w:keepNext/>
        <w:spacing w:after="140" w:before="320"/>
      </w:pPr>
      <w:r>
        <w:rPr>
          <w:rFonts w:ascii="Ranade" w:cs="Ranade" w:eastAsia="Ranade" w:hAnsi="Ranade"/>
          <w:b/>
          <w:bCs/>
          <w:color w:val="0B0710"/>
          <w:sz w:val="24"/>
          <w:szCs w:val="24"/>
        </w:rPr>
        <w:t xml:space="preserve">Preamble</w:t>
      </w:r>
    </w:p>
    <w:p>
      <w:pPr>
        <w:spacing w:after="120" w:line="300"/>
        <w:jc w:val="both"/>
      </w:pPr>
      <w:r>
        <w:rPr>
          <w:rFonts w:ascii="Satoshi" w:cs="Satoshi" w:eastAsia="Satoshi" w:hAnsi="Satoshi"/>
          <w:color w:val="221A2C"/>
          <w:sz w:val="21"/>
          <w:szCs w:val="21"/>
        </w:rPr>
        <w:t xml:space="preserve">The Processor provides services to the Client in the areas of marketing, content production, and sales support on the basis of one or more contracts, offers, or orders concluded between the Parties (together the “Principal Agreement”). In doing so, the Processor processes personal data for which the Client is the controller. This Agreement specifies the data protection rights and obligations of the Parties pursuant to Art. 28 GDPR.</w:t>
      </w:r>
    </w:p>
    <w:p>
      <w:pPr>
        <w:keepNext/>
        <w:spacing w:after="140" w:before="320"/>
      </w:pPr>
      <w:r>
        <w:rPr>
          <w:rFonts w:ascii="Ranade" w:cs="Ranade" w:eastAsia="Ranade" w:hAnsi="Ranade"/>
          <w:b/>
          <w:bCs/>
          <w:color w:val="F24DA0"/>
          <w:sz w:val="24"/>
          <w:szCs w:val="24"/>
        </w:rPr>
        <w:t xml:space="preserve">Clause 1  </w:t>
      </w:r>
      <w:r>
        <w:rPr>
          <w:rFonts w:ascii="Ranade" w:cs="Ranade" w:eastAsia="Ranade" w:hAnsi="Ranade"/>
          <w:b/>
          <w:bCs/>
          <w:color w:val="0B0710"/>
          <w:sz w:val="24"/>
          <w:szCs w:val="24"/>
        </w:rPr>
        <w:t xml:space="preserve">Subject Matter and Duration of the Processing</w:t>
      </w:r>
    </w:p>
    <w:p>
      <w:pPr>
        <w:spacing w:after="120" w:line="300"/>
        <w:jc w:val="both"/>
      </w:pPr>
      <w:r>
        <w:rPr>
          <w:rFonts w:ascii="Satoshi" w:cs="Satoshi" w:eastAsia="Satoshi" w:hAnsi="Satoshi"/>
          <w:color w:val="221A2C"/>
          <w:sz w:val="21"/>
          <w:szCs w:val="21"/>
        </w:rPr>
        <w:t xml:space="preserve">(1) The Processor processes personal data on behalf of and in accordance with the instructions of the Client. The subject matter of the engagement is the services agreed in the Principal Agreement; they are described in more detail in Annex 1.</w:t>
      </w:r>
    </w:p>
    <w:p>
      <w:pPr>
        <w:spacing w:after="120" w:line="300"/>
        <w:jc w:val="both"/>
      </w:pPr>
      <w:r>
        <w:rPr>
          <w:rFonts w:ascii="Satoshi" w:cs="Satoshi" w:eastAsia="Satoshi" w:hAnsi="Satoshi"/>
          <w:color w:val="221A2C"/>
          <w:sz w:val="21"/>
          <w:szCs w:val="21"/>
        </w:rPr>
        <w:t xml:space="preserve">(2) The term of this Agreement corresponds to the term of the Principal Agreement. It ends upon its termination, but not before all personal data has been deleted or returned in full pursuant to Clause 12.</w:t>
      </w:r>
    </w:p>
    <w:p>
      <w:pPr>
        <w:keepNext/>
        <w:spacing w:after="140" w:before="320"/>
      </w:pPr>
      <w:r>
        <w:rPr>
          <w:rFonts w:ascii="Ranade" w:cs="Ranade" w:eastAsia="Ranade" w:hAnsi="Ranade"/>
          <w:b/>
          <w:bCs/>
          <w:color w:val="F24DA0"/>
          <w:sz w:val="24"/>
          <w:szCs w:val="24"/>
        </w:rPr>
        <w:t xml:space="preserve">Clause 2  </w:t>
      </w:r>
      <w:r>
        <w:rPr>
          <w:rFonts w:ascii="Ranade" w:cs="Ranade" w:eastAsia="Ranade" w:hAnsi="Ranade"/>
          <w:b/>
          <w:bCs/>
          <w:color w:val="0B0710"/>
          <w:sz w:val="24"/>
          <w:szCs w:val="24"/>
        </w:rPr>
        <w:t xml:space="preserve">Nature and Purpose of the Processing, Data Categories, Data Subjects</w:t>
      </w:r>
    </w:p>
    <w:p>
      <w:pPr>
        <w:spacing w:after="120" w:line="300"/>
        <w:jc w:val="both"/>
      </w:pPr>
      <w:r>
        <w:rPr>
          <w:rFonts w:ascii="Satoshi" w:cs="Satoshi" w:eastAsia="Satoshi" w:hAnsi="Satoshi"/>
          <w:color w:val="221A2C"/>
          <w:sz w:val="21"/>
          <w:szCs w:val="21"/>
        </w:rPr>
        <w:t xml:space="preserve">(1) The nature and purpose of the processing, the categories of personal data, and the categories of data subjects are set out in Annex 1.</w:t>
      </w:r>
    </w:p>
    <w:p>
      <w:pPr>
        <w:spacing w:after="120" w:line="300"/>
        <w:jc w:val="both"/>
      </w:pPr>
      <w:r>
        <w:rPr>
          <w:rFonts w:ascii="Satoshi" w:cs="Satoshi" w:eastAsia="Satoshi" w:hAnsi="Satoshi"/>
          <w:color w:val="221A2C"/>
          <w:sz w:val="21"/>
          <w:szCs w:val="21"/>
        </w:rPr>
        <w:t xml:space="preserve">(2) Special categories of personal data (Art. 9 GDPR) are processed only where this is expressly agreed in Annex 1.</w:t>
      </w:r>
    </w:p>
    <w:p>
      <w:pPr>
        <w:spacing w:after="120" w:line="300"/>
        <w:jc w:val="both"/>
      </w:pPr>
      <w:r>
        <w:rPr>
          <w:rFonts w:ascii="Satoshi" w:cs="Satoshi" w:eastAsia="Satoshi" w:hAnsi="Satoshi"/>
          <w:color w:val="221A2C"/>
          <w:sz w:val="21"/>
          <w:szCs w:val="21"/>
        </w:rPr>
        <w:t xml:space="preserve">(3) The processing takes place in member states of the EU or the EEA and in the USA; details are set out in Clause 7.</w:t>
      </w:r>
    </w:p>
    <w:p>
      <w:pPr>
        <w:keepNext/>
        <w:spacing w:after="140" w:before="320"/>
      </w:pPr>
      <w:r>
        <w:rPr>
          <w:rFonts w:ascii="Ranade" w:cs="Ranade" w:eastAsia="Ranade" w:hAnsi="Ranade"/>
          <w:b/>
          <w:bCs/>
          <w:color w:val="F24DA0"/>
          <w:sz w:val="24"/>
          <w:szCs w:val="24"/>
        </w:rPr>
        <w:t xml:space="preserve">Clause 3  </w:t>
      </w:r>
      <w:r>
        <w:rPr>
          <w:rFonts w:ascii="Ranade" w:cs="Ranade" w:eastAsia="Ranade" w:hAnsi="Ranade"/>
          <w:b/>
          <w:bCs/>
          <w:color w:val="0B0710"/>
          <w:sz w:val="24"/>
          <w:szCs w:val="24"/>
        </w:rPr>
        <w:t xml:space="preserve">Right of the Client to Issue Instructions</w:t>
      </w:r>
    </w:p>
    <w:p>
      <w:pPr>
        <w:spacing w:after="120" w:line="300"/>
        <w:jc w:val="both"/>
      </w:pPr>
      <w:r>
        <w:rPr>
          <w:rFonts w:ascii="Satoshi" w:cs="Satoshi" w:eastAsia="Satoshi" w:hAnsi="Satoshi"/>
          <w:color w:val="221A2C"/>
          <w:sz w:val="21"/>
          <w:szCs w:val="21"/>
        </w:rPr>
        <w:t xml:space="preserve">(1) The Processor processes personal data only on documented instructions from the Client, unless the Processor is required to process by law to which it is subject. In such a case, the Processor shall inform the Client of that legal requirement before processing, unless that law prohibits such information on important grounds of public interest. The Principal Agreement and this Agreement constitute the initial, general instruction.</w:t>
      </w:r>
    </w:p>
    <w:p>
      <w:pPr>
        <w:spacing w:after="120" w:line="300"/>
        <w:jc w:val="both"/>
      </w:pPr>
      <w:r>
        <w:rPr>
          <w:rFonts w:ascii="Satoshi" w:cs="Satoshi" w:eastAsia="Satoshi" w:hAnsi="Satoshi"/>
          <w:color w:val="221A2C"/>
          <w:sz w:val="21"/>
          <w:szCs w:val="21"/>
        </w:rPr>
        <w:t xml:space="preserve">(2) Instructions must be given at least in text form (e.g. email). Instructions given orally shall be confirmed in text form without undue delay.</w:t>
      </w:r>
    </w:p>
    <w:p>
      <w:pPr>
        <w:spacing w:after="120" w:line="300"/>
        <w:jc w:val="both"/>
      </w:pPr>
      <w:r>
        <w:rPr>
          <w:rFonts w:ascii="Satoshi" w:cs="Satoshi" w:eastAsia="Satoshi" w:hAnsi="Satoshi"/>
          <w:color w:val="221A2C"/>
          <w:sz w:val="21"/>
          <w:szCs w:val="21"/>
        </w:rPr>
        <w:t xml:space="preserve">(3) If the Processor considers an instruction to infringe data protection law, it shall inform the Client without undue delay. The Processor is entitled to suspend the execution of the instruction until it is confirmed or amended.</w:t>
      </w:r>
    </w:p>
    <w:p>
      <w:pPr>
        <w:keepNext/>
        <w:spacing w:after="140" w:before="320"/>
      </w:pPr>
      <w:r>
        <w:rPr>
          <w:rFonts w:ascii="Ranade" w:cs="Ranade" w:eastAsia="Ranade" w:hAnsi="Ranade"/>
          <w:b/>
          <w:bCs/>
          <w:color w:val="F24DA0"/>
          <w:sz w:val="24"/>
          <w:szCs w:val="24"/>
        </w:rPr>
        <w:t xml:space="preserve">Clause 4  </w:t>
      </w:r>
      <w:r>
        <w:rPr>
          <w:rFonts w:ascii="Ranade" w:cs="Ranade" w:eastAsia="Ranade" w:hAnsi="Ranade"/>
          <w:b/>
          <w:bCs/>
          <w:color w:val="0B0710"/>
          <w:sz w:val="24"/>
          <w:szCs w:val="24"/>
        </w:rPr>
        <w:t xml:space="preserve">Confidentiality</w:t>
      </w:r>
    </w:p>
    <w:p>
      <w:pPr>
        <w:spacing w:after="120" w:line="300"/>
        <w:jc w:val="both"/>
      </w:pPr>
      <w:r>
        <w:rPr>
          <w:rFonts w:ascii="Satoshi" w:cs="Satoshi" w:eastAsia="Satoshi" w:hAnsi="Satoshi"/>
          <w:color w:val="221A2C"/>
          <w:sz w:val="21"/>
          <w:szCs w:val="21"/>
        </w:rPr>
        <w:t xml:space="preserve">(1) The Processor uses only persons for the processing who have committed themselves to confidentiality or are under an appropriate statutory obligation of confidentiality (Art. 28(3) sentence 2 lit. b GDPR).</w:t>
      </w:r>
    </w:p>
    <w:p>
      <w:pPr>
        <w:spacing w:after="120" w:line="300"/>
        <w:jc w:val="both"/>
      </w:pPr>
      <w:r>
        <w:rPr>
          <w:rFonts w:ascii="Satoshi" w:cs="Satoshi" w:eastAsia="Satoshi" w:hAnsi="Satoshi"/>
          <w:color w:val="221A2C"/>
          <w:sz w:val="21"/>
          <w:szCs w:val="21"/>
        </w:rPr>
        <w:t xml:space="preserve">(2) The confidentiality obligation continues to apply after the end of the respective employment or engagement.</w:t>
      </w:r>
    </w:p>
    <w:p>
      <w:pPr>
        <w:keepNext/>
        <w:spacing w:after="140" w:before="320"/>
      </w:pPr>
      <w:r>
        <w:rPr>
          <w:rFonts w:ascii="Ranade" w:cs="Ranade" w:eastAsia="Ranade" w:hAnsi="Ranade"/>
          <w:b/>
          <w:bCs/>
          <w:color w:val="F24DA0"/>
          <w:sz w:val="24"/>
          <w:szCs w:val="24"/>
        </w:rPr>
        <w:t xml:space="preserve">Clause 5  </w:t>
      </w:r>
      <w:r>
        <w:rPr>
          <w:rFonts w:ascii="Ranade" w:cs="Ranade" w:eastAsia="Ranade" w:hAnsi="Ranade"/>
          <w:b/>
          <w:bCs/>
          <w:color w:val="0B0710"/>
          <w:sz w:val="24"/>
          <w:szCs w:val="24"/>
        </w:rPr>
        <w:t xml:space="preserve">Technical and Organisational Measures</w:t>
      </w:r>
    </w:p>
    <w:p>
      <w:pPr>
        <w:spacing w:after="120" w:line="300"/>
        <w:jc w:val="both"/>
      </w:pPr>
      <w:r>
        <w:rPr>
          <w:rFonts w:ascii="Satoshi" w:cs="Satoshi" w:eastAsia="Satoshi" w:hAnsi="Satoshi"/>
          <w:color w:val="221A2C"/>
          <w:sz w:val="21"/>
          <w:szCs w:val="21"/>
        </w:rPr>
        <w:t xml:space="preserve">(1) The Processor implements the technical and organisational measures described in Annex 2 pursuant to Art. 32 GDPR and maintains them for the term of this Agreement.</w:t>
      </w:r>
    </w:p>
    <w:p>
      <w:pPr>
        <w:spacing w:after="120" w:line="300"/>
        <w:jc w:val="both"/>
      </w:pPr>
      <w:r>
        <w:rPr>
          <w:rFonts w:ascii="Satoshi" w:cs="Satoshi" w:eastAsia="Satoshi" w:hAnsi="Satoshi"/>
          <w:color w:val="221A2C"/>
          <w:sz w:val="21"/>
          <w:szCs w:val="21"/>
        </w:rPr>
        <w:t xml:space="preserve">(2) The measures are subject to technical progress. The Processor may develop them further and replace them with equivalent or better measures, provided the agreed level of protection is not reduced. Material changes shall be documented.</w:t>
      </w:r>
    </w:p>
    <w:p>
      <w:pPr>
        <w:keepNext/>
        <w:spacing w:after="140" w:before="320"/>
      </w:pPr>
      <w:r>
        <w:rPr>
          <w:rFonts w:ascii="Ranade" w:cs="Ranade" w:eastAsia="Ranade" w:hAnsi="Ranade"/>
          <w:b/>
          <w:bCs/>
          <w:color w:val="F24DA0"/>
          <w:sz w:val="24"/>
          <w:szCs w:val="24"/>
        </w:rPr>
        <w:t xml:space="preserve">Clause 6  </w:t>
      </w:r>
      <w:r>
        <w:rPr>
          <w:rFonts w:ascii="Ranade" w:cs="Ranade" w:eastAsia="Ranade" w:hAnsi="Ranade"/>
          <w:b/>
          <w:bCs/>
          <w:color w:val="0B0710"/>
          <w:sz w:val="24"/>
          <w:szCs w:val="24"/>
        </w:rPr>
        <w:t xml:space="preserve">Sub-Processors</w:t>
      </w:r>
    </w:p>
    <w:p>
      <w:pPr>
        <w:spacing w:after="120" w:line="300"/>
        <w:jc w:val="both"/>
      </w:pPr>
      <w:r>
        <w:rPr>
          <w:rFonts w:ascii="Satoshi" w:cs="Satoshi" w:eastAsia="Satoshi" w:hAnsi="Satoshi"/>
          <w:color w:val="221A2C"/>
          <w:sz w:val="21"/>
          <w:szCs w:val="21"/>
        </w:rPr>
        <w:t xml:space="preserve">(1) The Client grants the Processor a general authorisation to engage sub-processors for the processing. The sub-processors engaged at the time this Agreement is concluded are listed in Annex 3 and are deemed approved.</w:t>
      </w:r>
    </w:p>
    <w:p>
      <w:pPr>
        <w:spacing w:after="120" w:line="300"/>
        <w:jc w:val="both"/>
      </w:pPr>
      <w:r>
        <w:rPr>
          <w:rFonts w:ascii="Satoshi" w:cs="Satoshi" w:eastAsia="Satoshi" w:hAnsi="Satoshi"/>
          <w:color w:val="221A2C"/>
          <w:sz w:val="21"/>
          <w:szCs w:val="21"/>
        </w:rPr>
        <w:t xml:space="preserve">(2) The Processor shall inform the Client in text form in advance of any intended changes (addition or replacement of sub-processors). The Client may object to a change for important data protection reasons within 14 days of receipt of the information. If no amicable solution is reached, the Client has a special right of termination with respect to the services affected by the change.</w:t>
      </w:r>
    </w:p>
    <w:p>
      <w:pPr>
        <w:spacing w:after="120" w:line="300"/>
        <w:jc w:val="both"/>
      </w:pPr>
      <w:r>
        <w:rPr>
          <w:rFonts w:ascii="Satoshi" w:cs="Satoshi" w:eastAsia="Satoshi" w:hAnsi="Satoshi"/>
          <w:color w:val="221A2C"/>
          <w:sz w:val="21"/>
          <w:szCs w:val="21"/>
        </w:rPr>
        <w:t xml:space="preserve">(3) The Processor shall impose on each sub-processor, by way of a contract pursuant to Art. 28(4) GDPR, in substance the same data protection obligations as set out in this Agreement. Clause 7 applies to transfers to third countries.</w:t>
      </w:r>
    </w:p>
    <w:p>
      <w:pPr>
        <w:spacing w:after="120" w:line="300"/>
        <w:jc w:val="both"/>
      </w:pPr>
      <w:r>
        <w:rPr>
          <w:rFonts w:ascii="Satoshi" w:cs="Satoshi" w:eastAsia="Satoshi" w:hAnsi="Satoshi"/>
          <w:color w:val="221A2C"/>
          <w:sz w:val="21"/>
          <w:szCs w:val="21"/>
        </w:rPr>
        <w:t xml:space="preserve">(4) Where a sub-processor fails to fulfil its data protection obligations, the Processor remains liable to the Client for the performance of those obligations.</w:t>
      </w:r>
    </w:p>
    <w:p>
      <w:pPr>
        <w:spacing w:after="120" w:line="300"/>
        <w:jc w:val="both"/>
      </w:pPr>
      <w:r>
        <w:rPr>
          <w:rFonts w:ascii="Satoshi" w:cs="Satoshi" w:eastAsia="Satoshi" w:hAnsi="Satoshi"/>
          <w:color w:val="221A2C"/>
          <w:sz w:val="21"/>
          <w:szCs w:val="21"/>
        </w:rPr>
        <w:t xml:space="preserve">(5) Ancillary services provided by third parties without substantive access to personal data (e.g. telecommunications, postal services, maintenance) as well as services which the Client has commissioned itself or uses on its own responsibility (e.g. the Client’s own Meta advertising account, its payment service providers, or its course platform) do not constitute sub-processing within the meaning of this Clause.</w:t>
      </w:r>
    </w:p>
    <w:p>
      <w:pPr>
        <w:keepNext/>
        <w:spacing w:after="140" w:before="320"/>
      </w:pPr>
      <w:r>
        <w:rPr>
          <w:rFonts w:ascii="Ranade" w:cs="Ranade" w:eastAsia="Ranade" w:hAnsi="Ranade"/>
          <w:b/>
          <w:bCs/>
          <w:color w:val="F24DA0"/>
          <w:sz w:val="24"/>
          <w:szCs w:val="24"/>
        </w:rPr>
        <w:t xml:space="preserve">Clause 7  </w:t>
      </w:r>
      <w:r>
        <w:rPr>
          <w:rFonts w:ascii="Ranade" w:cs="Ranade" w:eastAsia="Ranade" w:hAnsi="Ranade"/>
          <w:b/>
          <w:bCs/>
          <w:color w:val="0B0710"/>
          <w:sz w:val="24"/>
          <w:szCs w:val="24"/>
        </w:rPr>
        <w:t xml:space="preserve">Processing in Third Countries, Standard Contractual Clauses</w:t>
      </w:r>
    </w:p>
    <w:p>
      <w:pPr>
        <w:spacing w:after="120" w:line="300"/>
        <w:jc w:val="both"/>
      </w:pPr>
      <w:r>
        <w:rPr>
          <w:rFonts w:ascii="Satoshi" w:cs="Satoshi" w:eastAsia="Satoshi" w:hAnsi="Satoshi"/>
          <w:color w:val="221A2C"/>
          <w:sz w:val="21"/>
          <w:szCs w:val="21"/>
        </w:rPr>
        <w:t xml:space="preserve">(1) The Processor is a company incorporated under US law. The processing by the Processor and by individual sub-processors (Annex 3) therefore takes place in whole or in part in the USA and thus in a third country within the meaning of Art. 44 et seq. GDPR.</w:t>
      </w:r>
    </w:p>
    <w:p>
      <w:pPr>
        <w:spacing w:after="120" w:line="300"/>
        <w:jc w:val="both"/>
      </w:pPr>
      <w:r>
        <w:rPr>
          <w:rFonts w:ascii="Satoshi" w:cs="Satoshi" w:eastAsia="Satoshi" w:hAnsi="Satoshi"/>
          <w:color w:val="221A2C"/>
          <w:sz w:val="21"/>
          <w:szCs w:val="21"/>
        </w:rPr>
        <w:t xml:space="preserve">(2) For the transfer of personal data from the Client to the Processor, the Parties additionally agree to the standard contractual clauses of the EU Commission of 4 June 2021 (Implementing Decision (EU) 2021/914), Module Two (transfer controller to processor), as amended from time to time (the “SCCs”). The SCCs are incorporated into this Agreement by reference and form an integral part of it. The full text is available at </w:t>
      </w:r>
      <w:hyperlink w:history="1" r:id="rIdd2marodflslfz6jym4fet">
        <w:r>
          <w:rPr>
            <w:rFonts w:ascii="Satoshi" w:cs="Satoshi" w:eastAsia="Satoshi" w:hAnsi="Satoshi"/>
            <w:color w:val="9A6BFF"/>
            <w:sz w:val="21"/>
            <w:szCs w:val="21"/>
            <w:u w:val="single"/>
          </w:rPr>
          <w:t xml:space="preserve">eur-lex.europa.eu/eli/dec_impl/2021/914/oj</w:t>
        </w:r>
      </w:hyperlink>
      <w:r>
        <w:rPr>
          <w:rFonts w:ascii="Satoshi" w:cs="Satoshi" w:eastAsia="Satoshi" w:hAnsi="Satoshi"/>
          <w:color w:val="221A2C"/>
          <w:sz w:val="21"/>
          <w:szCs w:val="21"/>
        </w:rPr>
        <w:t xml:space="preserve">; the Processor will provide the text upon request.</w:t>
      </w:r>
    </w:p>
    <w:p>
      <w:pPr>
        <w:spacing w:after="120" w:line="300"/>
        <w:jc w:val="both"/>
      </w:pPr>
      <w:r>
        <w:rPr>
          <w:rFonts w:ascii="Satoshi" w:cs="Satoshi" w:eastAsia="Satoshi" w:hAnsi="Satoshi"/>
          <w:color w:val="221A2C"/>
          <w:sz w:val="21"/>
          <w:szCs w:val="21"/>
        </w:rPr>
        <w:t xml:space="preserve">(3) The following elections apply to the SCCs: The optional Clause 7 of the SCCs (docking clause) applies. For Clause 9 of the SCCs, Option 2 (general written authorisation) applies with a period of 14 days in accordance with Clause 6(2) of this Agreement. The option in Clause 11(a) of the SCCs (independent dispute resolution body) does not apply. For Clause 17 of the SCCs, Option 1 applies with the law of the Federal Republic of Germany. The courts of the Federal Republic of Germany are competent pursuant to Clause 18(b) of the SCCs.</w:t>
      </w:r>
    </w:p>
    <w:p>
      <w:pPr>
        <w:spacing w:after="120" w:line="300"/>
        <w:jc w:val="both"/>
      </w:pPr>
      <w:r>
        <w:rPr>
          <w:rFonts w:ascii="Satoshi" w:cs="Satoshi" w:eastAsia="Satoshi" w:hAnsi="Satoshi"/>
          <w:color w:val="221A2C"/>
          <w:sz w:val="21"/>
          <w:szCs w:val="21"/>
        </w:rPr>
        <w:t xml:space="preserve">(4) Annexes 1 and 3 of this Agreement also serve as Annex I of the SCCs (list of parties, description of the transfer), and Annex 2 of this Agreement serves as Annex II of the SCCs (technical and organisational measures).</w:t>
      </w:r>
    </w:p>
    <w:p>
      <w:pPr>
        <w:spacing w:after="120" w:line="300"/>
        <w:jc w:val="both"/>
      </w:pPr>
      <w:r>
        <w:rPr>
          <w:rFonts w:ascii="Satoshi" w:cs="Satoshi" w:eastAsia="Satoshi" w:hAnsi="Satoshi"/>
          <w:color w:val="221A2C"/>
          <w:sz w:val="21"/>
          <w:szCs w:val="21"/>
        </w:rPr>
        <w:t xml:space="preserve">(5) In the event of a conflict between this Agreement and the SCCs, the SCCs prevail.</w:t>
      </w:r>
    </w:p>
    <w:p>
      <w:pPr>
        <w:spacing w:after="120" w:line="300"/>
        <w:jc w:val="both"/>
      </w:pPr>
      <w:r>
        <w:rPr>
          <w:rFonts w:ascii="Satoshi" w:cs="Satoshi" w:eastAsia="Satoshi" w:hAnsi="Satoshi"/>
          <w:color w:val="221A2C"/>
          <w:sz w:val="21"/>
          <w:szCs w:val="21"/>
        </w:rPr>
        <w:t xml:space="preserve">(6) The Processor transfers personal data to further third countries only where the requirements of Art. 44 et seq. GDPR are met (e.g. an adequacy decision, certification of the recipient under the EU-US Data Privacy Framework, or conclusion of standard contractual clauses with the sub-processor).</w:t>
      </w:r>
    </w:p>
    <w:p>
      <w:pPr>
        <w:keepNext/>
        <w:spacing w:after="140" w:before="320"/>
      </w:pPr>
      <w:r>
        <w:rPr>
          <w:rFonts w:ascii="Ranade" w:cs="Ranade" w:eastAsia="Ranade" w:hAnsi="Ranade"/>
          <w:b/>
          <w:bCs/>
          <w:color w:val="F24DA0"/>
          <w:sz w:val="24"/>
          <w:szCs w:val="24"/>
        </w:rPr>
        <w:t xml:space="preserve">Clause 8  </w:t>
      </w:r>
      <w:r>
        <w:rPr>
          <w:rFonts w:ascii="Ranade" w:cs="Ranade" w:eastAsia="Ranade" w:hAnsi="Ranade"/>
          <w:b/>
          <w:bCs/>
          <w:color w:val="0B0710"/>
          <w:sz w:val="24"/>
          <w:szCs w:val="24"/>
        </w:rPr>
        <w:t xml:space="preserve">Support of the Client, Rights of Data Subjects</w:t>
      </w:r>
    </w:p>
    <w:p>
      <w:pPr>
        <w:spacing w:after="120" w:line="300"/>
        <w:jc w:val="both"/>
      </w:pPr>
      <w:r>
        <w:rPr>
          <w:rFonts w:ascii="Satoshi" w:cs="Satoshi" w:eastAsia="Satoshi" w:hAnsi="Satoshi"/>
          <w:color w:val="221A2C"/>
          <w:sz w:val="21"/>
          <w:szCs w:val="21"/>
        </w:rPr>
        <w:t xml:space="preserve">(1) Taking into account the nature of the processing, the Processor supports the Client with appropriate technical and organisational measures in responding, within the statutory time limits, to requests from data subjects under Chapter III of the GDPR (including access, rectification, erasure, restriction of processing, data portability, and objection).</w:t>
      </w:r>
    </w:p>
    <w:p>
      <w:pPr>
        <w:spacing w:after="120" w:line="300"/>
        <w:jc w:val="both"/>
      </w:pPr>
      <w:r>
        <w:rPr>
          <w:rFonts w:ascii="Satoshi" w:cs="Satoshi" w:eastAsia="Satoshi" w:hAnsi="Satoshi"/>
          <w:color w:val="221A2C"/>
          <w:sz w:val="21"/>
          <w:szCs w:val="21"/>
        </w:rPr>
        <w:t xml:space="preserve">(2) If a data subject contacts the Processor directly, the Processor shall forward the request to the Client without undue delay and shall not respond to it itself, unless instructed to do so by the Client.</w:t>
      </w:r>
    </w:p>
    <w:p>
      <w:pPr>
        <w:spacing w:after="120" w:line="300"/>
        <w:jc w:val="both"/>
      </w:pPr>
      <w:r>
        <w:rPr>
          <w:rFonts w:ascii="Satoshi" w:cs="Satoshi" w:eastAsia="Satoshi" w:hAnsi="Satoshi"/>
          <w:color w:val="221A2C"/>
          <w:sz w:val="21"/>
          <w:szCs w:val="21"/>
        </w:rPr>
        <w:t xml:space="preserve">(3) The Processor provides information to third parties or to data subjects only on the prior instruction of the Client, unless there is a legal obligation to provide such information.</w:t>
      </w:r>
    </w:p>
    <w:p>
      <w:pPr>
        <w:keepNext/>
        <w:spacing w:after="140" w:before="320"/>
      </w:pPr>
      <w:r>
        <w:rPr>
          <w:rFonts w:ascii="Ranade" w:cs="Ranade" w:eastAsia="Ranade" w:hAnsi="Ranade"/>
          <w:b/>
          <w:bCs/>
          <w:color w:val="F24DA0"/>
          <w:sz w:val="24"/>
          <w:szCs w:val="24"/>
        </w:rPr>
        <w:t xml:space="preserve">Clause 9  </w:t>
      </w:r>
      <w:r>
        <w:rPr>
          <w:rFonts w:ascii="Ranade" w:cs="Ranade" w:eastAsia="Ranade" w:hAnsi="Ranade"/>
          <w:b/>
          <w:bCs/>
          <w:color w:val="0B0710"/>
          <w:sz w:val="24"/>
          <w:szCs w:val="24"/>
        </w:rPr>
        <w:t xml:space="preserve">Notification of Personal Data Breaches</w:t>
      </w:r>
    </w:p>
    <w:p>
      <w:pPr>
        <w:spacing w:after="120" w:line="300"/>
        <w:jc w:val="both"/>
      </w:pPr>
      <w:r>
        <w:rPr>
          <w:rFonts w:ascii="Satoshi" w:cs="Satoshi" w:eastAsia="Satoshi" w:hAnsi="Satoshi"/>
          <w:color w:val="221A2C"/>
          <w:sz w:val="21"/>
          <w:szCs w:val="21"/>
        </w:rPr>
        <w:t xml:space="preserve">(1) The Processor shall notify the Client of any personal data breach concerning the engagement without undue delay after becoming aware of it, at the latest within 48 hours. To the extent already known, the notification shall contain the information pursuant to Art. 33(3) GDPR (nature of the breach, categories and approximate number of data subjects and records concerned, likely consequences, and measures taken and proposed).</w:t>
      </w:r>
    </w:p>
    <w:p>
      <w:pPr>
        <w:spacing w:after="120" w:line="300"/>
        <w:jc w:val="both"/>
      </w:pPr>
      <w:r>
        <w:rPr>
          <w:rFonts w:ascii="Satoshi" w:cs="Satoshi" w:eastAsia="Satoshi" w:hAnsi="Satoshi"/>
          <w:color w:val="221A2C"/>
          <w:sz w:val="21"/>
          <w:szCs w:val="21"/>
        </w:rPr>
        <w:t xml:space="preserve">(2) The Processor supports the Client with the Client’s notification obligations under Art. 33 and 34 GDPR, documents the incident including the measures taken, and provides the documentation to the Client on request.</w:t>
      </w:r>
    </w:p>
    <w:p>
      <w:pPr>
        <w:keepNext/>
        <w:spacing w:after="140" w:before="320"/>
      </w:pPr>
      <w:r>
        <w:rPr>
          <w:rFonts w:ascii="Ranade" w:cs="Ranade" w:eastAsia="Ranade" w:hAnsi="Ranade"/>
          <w:b/>
          <w:bCs/>
          <w:color w:val="F24DA0"/>
          <w:sz w:val="24"/>
          <w:szCs w:val="24"/>
        </w:rPr>
        <w:t xml:space="preserve">Clause 10  </w:t>
      </w:r>
      <w:r>
        <w:rPr>
          <w:rFonts w:ascii="Ranade" w:cs="Ranade" w:eastAsia="Ranade" w:hAnsi="Ranade"/>
          <w:b/>
          <w:bCs/>
          <w:color w:val="0B0710"/>
          <w:sz w:val="24"/>
          <w:szCs w:val="24"/>
        </w:rPr>
        <w:t xml:space="preserve">Data Protection Impact Assessment and Prior Consultation</w:t>
      </w:r>
    </w:p>
    <w:p>
      <w:pPr>
        <w:spacing w:after="120" w:line="300"/>
        <w:jc w:val="both"/>
      </w:pPr>
      <w:r>
        <w:rPr>
          <w:rFonts w:ascii="Satoshi" w:cs="Satoshi" w:eastAsia="Satoshi" w:hAnsi="Satoshi"/>
          <w:color w:val="221A2C"/>
          <w:sz w:val="21"/>
          <w:szCs w:val="21"/>
        </w:rPr>
        <w:t xml:space="preserve">The Processor supports the Client, to the extent necessary, with data protection impact assessments (Art. 35 GDPR) and with prior consultation of the supervisory authority (Art. 36 GDPR), insofar as the processing on behalf of the Client is concerned.</w:t>
      </w:r>
    </w:p>
    <w:p>
      <w:pPr>
        <w:keepNext/>
        <w:spacing w:after="140" w:before="320"/>
      </w:pPr>
      <w:r>
        <w:rPr>
          <w:rFonts w:ascii="Ranade" w:cs="Ranade" w:eastAsia="Ranade" w:hAnsi="Ranade"/>
          <w:b/>
          <w:bCs/>
          <w:color w:val="F24DA0"/>
          <w:sz w:val="24"/>
          <w:szCs w:val="24"/>
        </w:rPr>
        <w:t xml:space="preserve">Clause 11  </w:t>
      </w:r>
      <w:r>
        <w:rPr>
          <w:rFonts w:ascii="Ranade" w:cs="Ranade" w:eastAsia="Ranade" w:hAnsi="Ranade"/>
          <w:b/>
          <w:bCs/>
          <w:color w:val="0B0710"/>
          <w:sz w:val="24"/>
          <w:szCs w:val="24"/>
        </w:rPr>
        <w:t xml:space="preserve">Evidence and Audit Rights</w:t>
      </w:r>
    </w:p>
    <w:p>
      <w:pPr>
        <w:spacing w:after="120" w:line="300"/>
        <w:jc w:val="both"/>
      </w:pPr>
      <w:r>
        <w:rPr>
          <w:rFonts w:ascii="Satoshi" w:cs="Satoshi" w:eastAsia="Satoshi" w:hAnsi="Satoshi"/>
          <w:color w:val="221A2C"/>
          <w:sz w:val="21"/>
          <w:szCs w:val="21"/>
        </w:rPr>
        <w:t xml:space="preserve">(1) The Processor makes available to the Client all information necessary to demonstrate compliance with the obligations laid down in Art. 28 GDPR. Evidence may be provided in particular by self-declarations, current attestations, reports, or certifications.</w:t>
      </w:r>
    </w:p>
    <w:p>
      <w:pPr>
        <w:spacing w:after="120" w:line="300"/>
        <w:jc w:val="both"/>
      </w:pPr>
      <w:r>
        <w:rPr>
          <w:rFonts w:ascii="Satoshi" w:cs="Satoshi" w:eastAsia="Satoshi" w:hAnsi="Satoshi"/>
          <w:color w:val="221A2C"/>
          <w:sz w:val="21"/>
          <w:szCs w:val="21"/>
        </w:rPr>
        <w:t xml:space="preserve">(2) The Client is entitled to audit compliance with this Agreement itself or through an auditor bound to confidentiality. Audits are carried out upon reasonable advance notice (as a rule 14 days), during normal business hours, without significant disruption to business operations, and as a rule no more than once per calendar year. Audits for cause, for example following an incident under Clause 9, remain unaffected. As the Processor operates fully digitally, audits may also be conducted by video conference and by inspection of the relevant systems.</w:t>
      </w:r>
    </w:p>
    <w:p>
      <w:pPr>
        <w:spacing w:after="120" w:line="300"/>
        <w:jc w:val="both"/>
      </w:pPr>
      <w:r>
        <w:rPr>
          <w:rFonts w:ascii="Satoshi" w:cs="Satoshi" w:eastAsia="Satoshi" w:hAnsi="Satoshi"/>
          <w:color w:val="221A2C"/>
          <w:sz w:val="21"/>
          <w:szCs w:val="21"/>
        </w:rPr>
        <w:t xml:space="preserve">(3) Each Party bears its own costs of an audit.</w:t>
      </w:r>
    </w:p>
    <w:p>
      <w:pPr>
        <w:keepNext/>
        <w:spacing w:after="140" w:before="320"/>
      </w:pPr>
      <w:r>
        <w:rPr>
          <w:rFonts w:ascii="Ranade" w:cs="Ranade" w:eastAsia="Ranade" w:hAnsi="Ranade"/>
          <w:b/>
          <w:bCs/>
          <w:color w:val="F24DA0"/>
          <w:sz w:val="24"/>
          <w:szCs w:val="24"/>
        </w:rPr>
        <w:t xml:space="preserve">Clause 12  </w:t>
      </w:r>
      <w:r>
        <w:rPr>
          <w:rFonts w:ascii="Ranade" w:cs="Ranade" w:eastAsia="Ranade" w:hAnsi="Ranade"/>
          <w:b/>
          <w:bCs/>
          <w:color w:val="0B0710"/>
          <w:sz w:val="24"/>
          <w:szCs w:val="24"/>
        </w:rPr>
        <w:t xml:space="preserve">Deletion and Return of Personal Data</w:t>
      </w:r>
    </w:p>
    <w:p>
      <w:pPr>
        <w:spacing w:after="120" w:line="300"/>
        <w:jc w:val="both"/>
      </w:pPr>
      <w:r>
        <w:rPr>
          <w:rFonts w:ascii="Satoshi" w:cs="Satoshi" w:eastAsia="Satoshi" w:hAnsi="Satoshi"/>
          <w:color w:val="221A2C"/>
          <w:sz w:val="21"/>
          <w:szCs w:val="21"/>
        </w:rPr>
        <w:t xml:space="preserve">(1) After completion of the processing services, the Processor shall, at the choice of the Client, delete all personal data or return it in a common, machine-readable format and delete existing copies, unless there is a legal obligation to store the data further. If the Client does not make a choice within 30 days of the termination of the Principal Agreement, the Processor is entitled to delete the data.</w:t>
      </w:r>
    </w:p>
    <w:p>
      <w:pPr>
        <w:spacing w:after="120" w:line="300"/>
        <w:jc w:val="both"/>
      </w:pPr>
      <w:r>
        <w:rPr>
          <w:rFonts w:ascii="Satoshi" w:cs="Satoshi" w:eastAsia="Satoshi" w:hAnsi="Satoshi"/>
          <w:color w:val="221A2C"/>
          <w:sz w:val="21"/>
          <w:szCs w:val="21"/>
        </w:rPr>
        <w:t xml:space="preserve">(2) Deletion shall be confirmed to the Client in text form upon request.</w:t>
      </w:r>
    </w:p>
    <w:p>
      <w:pPr>
        <w:spacing w:after="120" w:line="300"/>
        <w:jc w:val="both"/>
      </w:pPr>
      <w:r>
        <w:rPr>
          <w:rFonts w:ascii="Satoshi" w:cs="Satoshi" w:eastAsia="Satoshi" w:hAnsi="Satoshi"/>
          <w:color w:val="221A2C"/>
          <w:sz w:val="21"/>
          <w:szCs w:val="21"/>
        </w:rPr>
        <w:t xml:space="preserve">(3) Documentation serving as evidence of proper data processing may be retained by the Processor beyond the end of this Agreement in accordance with the respective statutory retention periods.</w:t>
      </w:r>
    </w:p>
    <w:p>
      <w:pPr>
        <w:keepNext/>
        <w:spacing w:after="140" w:before="320"/>
      </w:pPr>
      <w:r>
        <w:rPr>
          <w:rFonts w:ascii="Ranade" w:cs="Ranade" w:eastAsia="Ranade" w:hAnsi="Ranade"/>
          <w:b/>
          <w:bCs/>
          <w:color w:val="F24DA0"/>
          <w:sz w:val="24"/>
          <w:szCs w:val="24"/>
        </w:rPr>
        <w:t xml:space="preserve">Clause 13  </w:t>
      </w:r>
      <w:r>
        <w:rPr>
          <w:rFonts w:ascii="Ranade" w:cs="Ranade" w:eastAsia="Ranade" w:hAnsi="Ranade"/>
          <w:b/>
          <w:bCs/>
          <w:color w:val="0B0710"/>
          <w:sz w:val="24"/>
          <w:szCs w:val="24"/>
        </w:rPr>
        <w:t xml:space="preserve">Liability</w:t>
      </w:r>
    </w:p>
    <w:p>
      <w:pPr>
        <w:spacing w:after="120" w:line="300"/>
        <w:jc w:val="both"/>
      </w:pPr>
      <w:r>
        <w:rPr>
          <w:rFonts w:ascii="Satoshi" w:cs="Satoshi" w:eastAsia="Satoshi" w:hAnsi="Satoshi"/>
          <w:color w:val="221A2C"/>
          <w:sz w:val="21"/>
          <w:szCs w:val="21"/>
        </w:rPr>
        <w:t xml:space="preserve">The liability of the Parties is governed by Art. 82 GDPR in conjunction with the provisions of the Principal Agreement. A limitation of liability validly agreed in the Principal Agreement also applies to this Agreement to the extent permitted by law; liability towards data subjects under Art. 82 GDPR remains unaffected.</w:t>
      </w:r>
    </w:p>
    <w:p>
      <w:pPr>
        <w:keepNext/>
        <w:spacing w:after="140" w:before="320"/>
      </w:pPr>
      <w:r>
        <w:rPr>
          <w:rFonts w:ascii="Ranade" w:cs="Ranade" w:eastAsia="Ranade" w:hAnsi="Ranade"/>
          <w:b/>
          <w:bCs/>
          <w:color w:val="F24DA0"/>
          <w:sz w:val="24"/>
          <w:szCs w:val="24"/>
        </w:rPr>
        <w:t xml:space="preserve">Clause 14  </w:t>
      </w:r>
      <w:r>
        <w:rPr>
          <w:rFonts w:ascii="Ranade" w:cs="Ranade" w:eastAsia="Ranade" w:hAnsi="Ranade"/>
          <w:b/>
          <w:bCs/>
          <w:color w:val="0B0710"/>
          <w:sz w:val="24"/>
          <w:szCs w:val="24"/>
        </w:rPr>
        <w:t xml:space="preserve">Term and Termination</w:t>
      </w:r>
    </w:p>
    <w:p>
      <w:pPr>
        <w:spacing w:after="120" w:line="300"/>
        <w:jc w:val="both"/>
      </w:pPr>
      <w:r>
        <w:rPr>
          <w:rFonts w:ascii="Satoshi" w:cs="Satoshi" w:eastAsia="Satoshi" w:hAnsi="Satoshi"/>
          <w:color w:val="221A2C"/>
          <w:sz w:val="21"/>
          <w:szCs w:val="21"/>
        </w:rPr>
        <w:t xml:space="preserve">(1) This Agreement enters into force upon signature and applies for as long as the Processor processes personal data on behalf of the Client.</w:t>
      </w:r>
    </w:p>
    <w:p>
      <w:pPr>
        <w:spacing w:after="120" w:line="300"/>
        <w:jc w:val="both"/>
      </w:pPr>
      <w:r>
        <w:rPr>
          <w:rFonts w:ascii="Satoshi" w:cs="Satoshi" w:eastAsia="Satoshi" w:hAnsi="Satoshi"/>
          <w:color w:val="221A2C"/>
          <w:sz w:val="21"/>
          <w:szCs w:val="21"/>
        </w:rPr>
        <w:t xml:space="preserve">(2) The termination of the Principal Agreement also covers this Agreement. An isolated termination of this Agreement is excluded for as long as the Processor provides services that require the processing of personal data.</w:t>
      </w:r>
    </w:p>
    <w:p>
      <w:pPr>
        <w:spacing w:after="120" w:line="300"/>
        <w:jc w:val="both"/>
      </w:pPr>
      <w:r>
        <w:rPr>
          <w:rFonts w:ascii="Satoshi" w:cs="Satoshi" w:eastAsia="Satoshi" w:hAnsi="Satoshi"/>
          <w:color w:val="221A2C"/>
          <w:sz w:val="21"/>
          <w:szCs w:val="21"/>
        </w:rPr>
        <w:t xml:space="preserve">(3) The right to extraordinary termination for good cause remains unaffected.</w:t>
      </w:r>
    </w:p>
    <w:p>
      <w:pPr>
        <w:keepNext/>
        <w:spacing w:after="140" w:before="320"/>
      </w:pPr>
      <w:r>
        <w:rPr>
          <w:rFonts w:ascii="Ranade" w:cs="Ranade" w:eastAsia="Ranade" w:hAnsi="Ranade"/>
          <w:b/>
          <w:bCs/>
          <w:color w:val="F24DA0"/>
          <w:sz w:val="24"/>
          <w:szCs w:val="24"/>
        </w:rPr>
        <w:t xml:space="preserve">Clause 15  </w:t>
      </w:r>
      <w:r>
        <w:rPr>
          <w:rFonts w:ascii="Ranade" w:cs="Ranade" w:eastAsia="Ranade" w:hAnsi="Ranade"/>
          <w:b/>
          <w:bCs/>
          <w:color w:val="0B0710"/>
          <w:sz w:val="24"/>
          <w:szCs w:val="24"/>
        </w:rPr>
        <w:t xml:space="preserve">Final Provisions</w:t>
      </w:r>
    </w:p>
    <w:p>
      <w:pPr>
        <w:spacing w:after="120" w:line="300"/>
        <w:jc w:val="both"/>
      </w:pPr>
      <w:r>
        <w:rPr>
          <w:rFonts w:ascii="Satoshi" w:cs="Satoshi" w:eastAsia="Satoshi" w:hAnsi="Satoshi"/>
          <w:color w:val="221A2C"/>
          <w:sz w:val="21"/>
          <w:szCs w:val="21"/>
        </w:rPr>
        <w:t xml:space="preserve">(1) Amendments and supplements to this Agreement must be made in text form. This also applies to any amendment of this text form requirement.</w:t>
      </w:r>
    </w:p>
    <w:p>
      <w:pPr>
        <w:spacing w:after="120" w:line="300"/>
        <w:jc w:val="both"/>
      </w:pPr>
      <w:r>
        <w:rPr>
          <w:rFonts w:ascii="Satoshi" w:cs="Satoshi" w:eastAsia="Satoshi" w:hAnsi="Satoshi"/>
          <w:color w:val="221A2C"/>
          <w:sz w:val="21"/>
          <w:szCs w:val="21"/>
        </w:rPr>
        <w:t xml:space="preserve">(2) In the event of conflicts between this Agreement and the Principal Agreement, the provisions of this Agreement prevail in matters of data protection. Clause 7(5) (precedence of the SCCs) remains unaffected.</w:t>
      </w:r>
    </w:p>
    <w:p>
      <w:pPr>
        <w:spacing w:after="120" w:line="300"/>
        <w:jc w:val="both"/>
      </w:pPr>
      <w:r>
        <w:rPr>
          <w:rFonts w:ascii="Satoshi" w:cs="Satoshi" w:eastAsia="Satoshi" w:hAnsi="Satoshi"/>
          <w:color w:val="221A2C"/>
          <w:sz w:val="21"/>
          <w:szCs w:val="21"/>
        </w:rPr>
        <w:t xml:space="preserve">(3) This Agreement is governed by the law agreed for the Principal Agreement; in the absence of such a choice of law, German law applies. The choice of law under Clause 7(3) applies to the SCCs.</w:t>
      </w:r>
    </w:p>
    <w:p>
      <w:pPr>
        <w:spacing w:after="120" w:line="300"/>
        <w:jc w:val="both"/>
      </w:pPr>
      <w:r>
        <w:rPr>
          <w:rFonts w:ascii="Satoshi" w:cs="Satoshi" w:eastAsia="Satoshi" w:hAnsi="Satoshi"/>
          <w:color w:val="221A2C"/>
          <w:sz w:val="21"/>
          <w:szCs w:val="21"/>
        </w:rPr>
        <w:t xml:space="preserve">(4) Should individual provisions of this Agreement be or become invalid, the validity of the remaining provisions remains unaffected. The invalid provision shall be replaced by a valid provision that comes closest to the commercial intent of the Parties.</w:t>
      </w:r>
    </w:p>
    <w:p>
      <w:pPr>
        <w:spacing w:after="120" w:line="300"/>
        <w:jc w:val="both"/>
      </w:pPr>
      <w:r>
        <w:rPr>
          <w:rFonts w:ascii="Satoshi" w:cs="Satoshi" w:eastAsia="Satoshi" w:hAnsi="Satoshi"/>
          <w:color w:val="221A2C"/>
          <w:sz w:val="21"/>
          <w:szCs w:val="21"/>
        </w:rPr>
        <w:t xml:space="preserve">(5) This Agreement may be concluded electronically, e.g. by mutually exchanged scanned signatures or by an advanced or qualified electronic signature.</w:t>
      </w:r>
    </w:p>
    <w:p>
      <w:pPr>
        <w:spacing w:after="120" w:line="300"/>
        <w:jc w:val="both"/>
      </w:pPr>
      <w:r>
        <w:rPr>
          <w:rFonts w:ascii="Satoshi" w:cs="Satoshi" w:eastAsia="Satoshi" w:hAnsi="Satoshi"/>
          <w:color w:val="221A2C"/>
          <w:sz w:val="21"/>
          <w:szCs w:val="21"/>
        </w:rPr>
        <w:t xml:space="preserve">(6) This Agreement is concluded in the English language. The German version included in this document is a convenience translation for information purposes only; in the event of discrepancies, the English version prevails.</w:t>
      </w:r>
    </w:p>
    <w:p>
      <w:pPr>
        <w:keepNext/>
        <w:spacing w:after="140" w:before="320"/>
      </w:pPr>
      <w:r>
        <w:rPr>
          <w:rFonts w:ascii="Ranade" w:cs="Ranade" w:eastAsia="Ranade" w:hAnsi="Ranade"/>
          <w:b/>
          <w:bCs/>
          <w:color w:val="0B0710"/>
          <w:sz w:val="24"/>
          <w:szCs w:val="24"/>
        </w:rPr>
        <w:t xml:space="preserve">Signatures</w:t>
      </w:r>
    </w:p>
    <w:tbl>
      <w:tblPr>
        <w:tblW w:type="dxa" w:w="9026"/>
        <w:tblBorders>
          <w:top w:val="none" w:color="FFFFFF" w:sz="0"/>
          <w:left w:val="none" w:color="FFFFFF" w:sz="0"/>
          <w:bottom w:val="none" w:color="FFFFFF" w:sz="0"/>
          <w:right w:val="none" w:color="FFFFFF" w:sz="0"/>
          <w:insideH w:val="single" w:color="auto" w:sz="4"/>
          <w:insideV w:val="single" w:color="auto" w:sz="4"/>
        </w:tblBorders>
      </w:tblPr>
      <w:tblGrid>
        <w:gridCol w:w="4313"/>
        <w:gridCol w:w="400"/>
        <w:gridCol w:w="4313"/>
      </w:tblGrid>
      <w:tr>
        <w:tc>
          <w:tcPr>
            <w:tcW w:type="dxa" w:w="4313"/>
            <w:tcBorders>
              <w:top w:val="none" w:color="FFFFFF" w:sz="0"/>
              <w:left w:val="none" w:color="FFFFFF" w:sz="0"/>
              <w:bottom w:val="none" w:color="FFFFFF" w:sz="0"/>
              <w:right w:val="none" w:color="FFFFFF" w:sz="0"/>
            </w:tcBorders>
          </w:tcPr>
          <w:p>
            <w:pPr>
              <w:spacing w:after="40"/>
            </w:pPr>
            <w:r>
              <w:rPr>
                <w:rFonts w:ascii="Ranade" w:cs="Ranade" w:eastAsia="Ranade" w:hAnsi="Ranade"/>
                <w:b/>
                <w:bCs/>
                <w:color w:val="0B0710"/>
                <w:sz w:val="22"/>
                <w:szCs w:val="22"/>
              </w:rPr>
              <w:t xml:space="preserve">Client</w:t>
            </w:r>
          </w:p>
          <w:p>
            <w:pPr>
              <w:spacing w:after="300"/>
            </w:pPr>
            <w:r>
              <w:rPr>
                <w:rFonts w:ascii="Satoshi" w:cs="Satoshi" w:eastAsia="Satoshi" w:hAnsi="Satoshi"/>
                <w:color w:val="6E6280"/>
                <w:sz w:val="18"/>
                <w:szCs w:val="18"/>
              </w:rPr>
              <w:t xml:space="preserve">Controller</w:t>
            </w:r>
          </w:p>
          <w:p>
            <w:pPr>
              <w:spacing w:after="340"/>
            </w:pPr>
          </w:p>
          <w:p>
            <w:pPr>
              <w:pBdr>
                <w:bottom w:val="single" w:color="221A2C" w:sz="6"/>
              </w:pBdr>
              <w:spacing w:after="40"/>
            </w:pPr>
          </w:p>
          <w:p>
            <w:pPr>
              <w:spacing w:after="0"/>
            </w:pPr>
            <w:r>
              <w:rPr>
                <w:rFonts w:ascii="Satoshi" w:cs="Satoshi" w:eastAsia="Satoshi" w:hAnsi="Satoshi"/>
                <w:color w:val="6E6280"/>
                <w:sz w:val="18"/>
                <w:szCs w:val="18"/>
              </w:rPr>
              <w:t xml:space="preserve">Place, date</w:t>
            </w:r>
          </w:p>
          <w:p>
            <w:pPr>
              <w:spacing w:after="520"/>
            </w:pPr>
          </w:p>
          <w:p>
            <w:pPr>
              <w:pBdr>
                <w:bottom w:val="single" w:color="221A2C" w:sz="6"/>
              </w:pBdr>
              <w:spacing w:after="40"/>
            </w:pPr>
          </w:p>
          <w:p>
            <w:pPr>
              <w:spacing w:after="0"/>
            </w:pPr>
            <w:r>
              <w:rPr>
                <w:rFonts w:ascii="Satoshi" w:cs="Satoshi" w:eastAsia="Satoshi" w:hAnsi="Satoshi"/>
                <w:color w:val="6E6280"/>
                <w:sz w:val="18"/>
                <w:szCs w:val="18"/>
              </w:rPr>
              <w:t xml:space="preserve">Signature, name in block capitals</w:t>
            </w:r>
          </w:p>
        </w:tc>
        <w:tc>
          <w:tcPr>
            <w:tcW w:type="dxa" w:w="400"/>
            <w:tcBorders>
              <w:top w:val="none" w:color="FFFFFF" w:sz="0"/>
              <w:left w:val="none" w:color="FFFFFF" w:sz="0"/>
              <w:bottom w:val="none" w:color="FFFFFF" w:sz="0"/>
              <w:right w:val="none" w:color="FFFFFF" w:sz="0"/>
            </w:tcBorders>
          </w:tcPr>
          <w:p/>
        </w:tc>
        <w:tc>
          <w:tcPr>
            <w:tcW w:type="dxa" w:w="4313"/>
            <w:tcBorders>
              <w:top w:val="none" w:color="FFFFFF" w:sz="0"/>
              <w:left w:val="none" w:color="FFFFFF" w:sz="0"/>
              <w:bottom w:val="none" w:color="FFFFFF" w:sz="0"/>
              <w:right w:val="none" w:color="FFFFFF" w:sz="0"/>
            </w:tcBorders>
          </w:tcPr>
          <w:p>
            <w:pPr>
              <w:spacing w:after="40"/>
            </w:pPr>
            <w:r>
              <w:rPr>
                <w:rFonts w:ascii="Ranade" w:cs="Ranade" w:eastAsia="Ranade" w:hAnsi="Ranade"/>
                <w:b/>
                <w:bCs/>
                <w:color w:val="0B0710"/>
                <w:sz w:val="22"/>
                <w:szCs w:val="22"/>
              </w:rPr>
              <w:t xml:space="preserve">Processor</w:t>
            </w:r>
          </w:p>
          <w:p>
            <w:pPr>
              <w:spacing w:after="300"/>
            </w:pPr>
            <w:r>
              <w:rPr>
                <w:rFonts w:ascii="Satoshi" w:cs="Satoshi" w:eastAsia="Satoshi" w:hAnsi="Satoshi"/>
                <w:color w:val="6E6280"/>
                <w:sz w:val="18"/>
                <w:szCs w:val="18"/>
              </w:rPr>
              <w:t xml:space="preserve">Best Life Agency LLC</w:t>
            </w:r>
          </w:p>
          <w:p>
            <w:pPr>
              <w:spacing w:after="340"/>
            </w:pPr>
          </w:p>
          <w:p>
            <w:pPr>
              <w:pBdr>
                <w:bottom w:val="single" w:color="221A2C" w:sz="6"/>
              </w:pBdr>
              <w:spacing w:after="40"/>
            </w:pPr>
          </w:p>
          <w:p>
            <w:pPr>
              <w:spacing w:after="0"/>
            </w:pPr>
            <w:r>
              <w:rPr>
                <w:rFonts w:ascii="Satoshi" w:cs="Satoshi" w:eastAsia="Satoshi" w:hAnsi="Satoshi"/>
                <w:color w:val="6E6280"/>
                <w:sz w:val="18"/>
                <w:szCs w:val="18"/>
              </w:rPr>
              <w:t xml:space="preserve">Place, date</w:t>
            </w:r>
          </w:p>
          <w:p>
            <w:pPr>
              <w:spacing w:after="520"/>
            </w:pPr>
          </w:p>
          <w:p>
            <w:pPr>
              <w:pBdr>
                <w:bottom w:val="single" w:color="221A2C" w:sz="6"/>
              </w:pBdr>
              <w:spacing w:after="40"/>
            </w:pPr>
          </w:p>
          <w:p>
            <w:pPr>
              <w:spacing w:after="0"/>
            </w:pPr>
            <w:r>
              <w:rPr>
                <w:rFonts w:ascii="Satoshi" w:cs="Satoshi" w:eastAsia="Satoshi" w:hAnsi="Satoshi"/>
                <w:color w:val="6E6280"/>
                <w:sz w:val="18"/>
                <w:szCs w:val="18"/>
              </w:rPr>
              <w:t xml:space="preserve">Signature · Kenneth Beller, Managing Member</w:t>
            </w:r>
          </w:p>
        </w:tc>
      </w:tr>
    </w:tbl>
    <w:p>
      <w:pPr>
        <w:pageBreakBefore/>
        <w:spacing w:after="200" w:before="0"/>
      </w:pPr>
      <w:r>
        <w:rPr>
          <w:rFonts w:ascii="Ranade" w:cs="Ranade" w:eastAsia="Ranade" w:hAnsi="Ranade"/>
          <w:b/>
          <w:bCs/>
          <w:color w:val="0B0710"/>
          <w:sz w:val="32"/>
          <w:szCs w:val="32"/>
        </w:rPr>
        <w:t xml:space="preserve">Annex 1: Subject Matter of the Processing</w:t>
      </w:r>
    </w:p>
    <w:p>
      <w:pPr>
        <w:keepNext/>
        <w:spacing w:after="100" w:before="260"/>
      </w:pPr>
      <w:r>
        <w:rPr>
          <w:rFonts w:ascii="Ranade" w:cs="Ranade" w:eastAsia="Ranade" w:hAnsi="Ranade"/>
          <w:b/>
          <w:bCs/>
          <w:color w:val="0B0710"/>
          <w:sz w:val="22"/>
          <w:szCs w:val="22"/>
        </w:rPr>
        <w:t xml:space="preserve">1. Services of the Processor (subject matter of the engagement)</w:t>
      </w:r>
    </w:p>
    <w:p>
      <w:pPr>
        <w:spacing w:after="120" w:line="300"/>
        <w:jc w:val="both"/>
      </w:pPr>
      <w:r>
        <w:rPr>
          <w:rFonts w:ascii="Satoshi" w:cs="Satoshi" w:eastAsia="Satoshi" w:hAnsi="Satoshi"/>
          <w:color w:val="221A2C"/>
          <w:sz w:val="21"/>
          <w:szCs w:val="21"/>
        </w:rPr>
        <w:t xml:space="preserve">Depending on the Principal Agreement, the engagement comprises one or more of the following services:</w:t>
      </w:r>
    </w:p>
    <w:p>
      <w:pPr>
        <w:pStyle w:val="ListParagraph"/>
        <w:numPr>
          <w:ilvl w:val="0"/>
          <w:numId w:val="2"/>
        </w:numPr>
        <w:spacing w:after="60" w:line="290"/>
        <w:jc w:val="both"/>
      </w:pPr>
      <w:r>
        <w:rPr>
          <w:rFonts w:ascii="Satoshi" w:cs="Satoshi" w:eastAsia="Satoshi" w:hAnsi="Satoshi"/>
          <w:b/>
          <w:bCs/>
          <w:color w:val="221A2C"/>
          <w:sz w:val="21"/>
          <w:szCs w:val="21"/>
        </w:rPr>
        <w:t xml:space="preserve">Performance marketing: </w:t>
      </w:r>
      <w:r>
        <w:rPr>
          <w:rFonts w:ascii="Satoshi" w:cs="Satoshi" w:eastAsia="Satoshi" w:hAnsi="Satoshi"/>
          <w:color w:val="221A2C"/>
          <w:sz w:val="21"/>
          <w:szCs w:val="21"/>
        </w:rPr>
        <w:t xml:space="preserve">design, setup, and management of advertising campaigns (in particular Meta Ads) in the Client’s advertising account, including audiences and evaluation</w:t>
      </w:r>
    </w:p>
    <w:p>
      <w:pPr>
        <w:pStyle w:val="ListParagraph"/>
        <w:numPr>
          <w:ilvl w:val="0"/>
          <w:numId w:val="2"/>
        </w:numPr>
        <w:spacing w:after="60" w:line="290"/>
        <w:jc w:val="both"/>
      </w:pPr>
      <w:r>
        <w:rPr>
          <w:rFonts w:ascii="Satoshi" w:cs="Satoshi" w:eastAsia="Satoshi" w:hAnsi="Satoshi"/>
          <w:b/>
          <w:bCs/>
          <w:color w:val="221A2C"/>
          <w:sz w:val="21"/>
          <w:szCs w:val="21"/>
        </w:rPr>
        <w:t xml:space="preserve">Landing pages and funnels: </w:t>
      </w:r>
      <w:r>
        <w:rPr>
          <w:rFonts w:ascii="Satoshi" w:cs="Satoshi" w:eastAsia="Satoshi" w:hAnsi="Satoshi"/>
          <w:color w:val="221A2C"/>
          <w:sz w:val="21"/>
          <w:szCs w:val="21"/>
        </w:rPr>
        <w:t xml:space="preserve">creation, setup, and operation of landing pages, quiz funnels, and forms for lead generation</w:t>
      </w:r>
    </w:p>
    <w:p>
      <w:pPr>
        <w:pStyle w:val="ListParagraph"/>
        <w:numPr>
          <w:ilvl w:val="0"/>
          <w:numId w:val="2"/>
        </w:numPr>
        <w:spacing w:after="60" w:line="290"/>
        <w:jc w:val="both"/>
      </w:pPr>
      <w:r>
        <w:rPr>
          <w:rFonts w:ascii="Satoshi" w:cs="Satoshi" w:eastAsia="Satoshi" w:hAnsi="Satoshi"/>
          <w:b/>
          <w:bCs/>
          <w:color w:val="221A2C"/>
          <w:sz w:val="21"/>
          <w:szCs w:val="21"/>
        </w:rPr>
        <w:t xml:space="preserve">CRM and automations: </w:t>
      </w:r>
      <w:r>
        <w:rPr>
          <w:rFonts w:ascii="Satoshi" w:cs="Satoshi" w:eastAsia="Satoshi" w:hAnsi="Satoshi"/>
          <w:color w:val="221A2C"/>
          <w:sz w:val="21"/>
          <w:szCs w:val="21"/>
        </w:rPr>
        <w:t xml:space="preserve">setup and maintenance of the CRM system, management of contacts, pipelines, automations, and appointment bookings</w:t>
      </w:r>
    </w:p>
    <w:p>
      <w:pPr>
        <w:pStyle w:val="ListParagraph"/>
        <w:numPr>
          <w:ilvl w:val="0"/>
          <w:numId w:val="2"/>
        </w:numPr>
        <w:spacing w:after="60" w:line="290"/>
        <w:jc w:val="both"/>
      </w:pPr>
      <w:r>
        <w:rPr>
          <w:rFonts w:ascii="Satoshi" w:cs="Satoshi" w:eastAsia="Satoshi" w:hAnsi="Satoshi"/>
          <w:b/>
          <w:bCs/>
          <w:color w:val="221A2C"/>
          <w:sz w:val="21"/>
          <w:szCs w:val="21"/>
        </w:rPr>
        <w:t xml:space="preserve">Email marketing: </w:t>
      </w:r>
      <w:r>
        <w:rPr>
          <w:rFonts w:ascii="Satoshi" w:cs="Satoshi" w:eastAsia="Satoshi" w:hAnsi="Satoshi"/>
          <w:color w:val="221A2C"/>
          <w:sz w:val="21"/>
          <w:szCs w:val="21"/>
        </w:rPr>
        <w:t xml:space="preserve">creation and delivery of email campaigns and newsletters to the Client’s recipients</w:t>
      </w:r>
    </w:p>
    <w:p>
      <w:pPr>
        <w:pStyle w:val="ListParagraph"/>
        <w:numPr>
          <w:ilvl w:val="0"/>
          <w:numId w:val="2"/>
        </w:numPr>
        <w:spacing w:after="60" w:line="290"/>
        <w:jc w:val="both"/>
      </w:pPr>
      <w:r>
        <w:rPr>
          <w:rFonts w:ascii="Satoshi" w:cs="Satoshi" w:eastAsia="Satoshi" w:hAnsi="Satoshi"/>
          <w:b/>
          <w:bCs/>
          <w:color w:val="221A2C"/>
          <w:sz w:val="21"/>
          <w:szCs w:val="21"/>
        </w:rPr>
        <w:t xml:space="preserve">Lead management: </w:t>
      </w:r>
      <w:r>
        <w:rPr>
          <w:rFonts w:ascii="Satoshi" w:cs="Satoshi" w:eastAsia="Satoshi" w:hAnsi="Satoshi"/>
          <w:color w:val="221A2C"/>
          <w:sz w:val="21"/>
          <w:szCs w:val="21"/>
        </w:rPr>
        <w:t xml:space="preserve">receipt, qualification, and forwarding of inquiries and leads</w:t>
      </w:r>
    </w:p>
    <w:p>
      <w:pPr>
        <w:pStyle w:val="ListParagraph"/>
        <w:numPr>
          <w:ilvl w:val="0"/>
          <w:numId w:val="2"/>
        </w:numPr>
        <w:spacing w:after="60" w:line="290"/>
        <w:jc w:val="both"/>
      </w:pPr>
      <w:r>
        <w:rPr>
          <w:rFonts w:ascii="Satoshi" w:cs="Satoshi" w:eastAsia="Satoshi" w:hAnsi="Satoshi"/>
          <w:b/>
          <w:bCs/>
          <w:color w:val="221A2C"/>
          <w:sz w:val="21"/>
          <w:szCs w:val="21"/>
        </w:rPr>
        <w:t xml:space="preserve">Content production: </w:t>
      </w:r>
      <w:r>
        <w:rPr>
          <w:rFonts w:ascii="Satoshi" w:cs="Satoshi" w:eastAsia="Satoshi" w:hAnsi="Satoshi"/>
          <w:color w:val="221A2C"/>
          <w:sz w:val="21"/>
          <w:szCs w:val="21"/>
        </w:rPr>
        <w:t xml:space="preserve">production of video courses, videos, and podcasts, including recording, editing, and preparation for publication</w:t>
      </w:r>
    </w:p>
    <w:p>
      <w:pPr>
        <w:pStyle w:val="ListParagraph"/>
        <w:numPr>
          <w:ilvl w:val="0"/>
          <w:numId w:val="2"/>
        </w:numPr>
        <w:spacing w:after="60" w:line="290"/>
        <w:jc w:val="both"/>
      </w:pPr>
      <w:r>
        <w:rPr>
          <w:rFonts w:ascii="Satoshi" w:cs="Satoshi" w:eastAsia="Satoshi" w:hAnsi="Satoshi"/>
          <w:b/>
          <w:bCs/>
          <w:color w:val="221A2C"/>
          <w:sz w:val="21"/>
          <w:szCs w:val="21"/>
        </w:rPr>
        <w:t xml:space="preserve">Reporting: </w:t>
      </w:r>
      <w:r>
        <w:rPr>
          <w:rFonts w:ascii="Satoshi" w:cs="Satoshi" w:eastAsia="Satoshi" w:hAnsi="Satoshi"/>
          <w:color w:val="221A2C"/>
          <w:sz w:val="21"/>
          <w:szCs w:val="21"/>
        </w:rPr>
        <w:t xml:space="preserve">evaluations and reports on campaigns, funnels, and content</w:t>
      </w:r>
    </w:p>
    <w:p>
      <w:pPr>
        <w:keepNext/>
        <w:spacing w:after="100" w:before="260"/>
      </w:pPr>
      <w:r>
        <w:rPr>
          <w:rFonts w:ascii="Ranade" w:cs="Ranade" w:eastAsia="Ranade" w:hAnsi="Ranade"/>
          <w:b/>
          <w:bCs/>
          <w:color w:val="0B0710"/>
          <w:sz w:val="22"/>
          <w:szCs w:val="22"/>
        </w:rPr>
        <w:t xml:space="preserve">2. Purpose of the processing</w:t>
      </w:r>
    </w:p>
    <w:p>
      <w:pPr>
        <w:spacing w:after="120" w:line="300"/>
        <w:jc w:val="both"/>
      </w:pPr>
      <w:r>
        <w:rPr>
          <w:rFonts w:ascii="Satoshi" w:cs="Satoshi" w:eastAsia="Satoshi" w:hAnsi="Satoshi"/>
          <w:color w:val="221A2C"/>
          <w:sz w:val="21"/>
          <w:szCs w:val="21"/>
        </w:rPr>
        <w:t xml:space="preserve">Marketing of the Client’s offers, acquisition and support of the Client’s prospects and customers, communication with these persons, production of content, and evaluation and reporting.</w:t>
      </w:r>
    </w:p>
    <w:p>
      <w:pPr>
        <w:keepNext/>
        <w:spacing w:after="100" w:before="260"/>
      </w:pPr>
      <w:r>
        <w:rPr>
          <w:rFonts w:ascii="Ranade" w:cs="Ranade" w:eastAsia="Ranade" w:hAnsi="Ranade"/>
          <w:b/>
          <w:bCs/>
          <w:color w:val="0B0710"/>
          <w:sz w:val="22"/>
          <w:szCs w:val="22"/>
        </w:rPr>
        <w:t xml:space="preserve">3. Nature of the processing</w:t>
      </w:r>
    </w:p>
    <w:p>
      <w:pPr>
        <w:spacing w:after="120" w:line="300"/>
        <w:jc w:val="both"/>
      </w:pPr>
      <w:r>
        <w:rPr>
          <w:rFonts w:ascii="Satoshi" w:cs="Satoshi" w:eastAsia="Satoshi" w:hAnsi="Satoshi"/>
          <w:color w:val="221A2C"/>
          <w:sz w:val="21"/>
          <w:szCs w:val="21"/>
        </w:rPr>
        <w:t xml:space="preserve">Collection, recording, organisation, structuring, storage, adaptation or alteration, retrieval, consultation, use, disclosure by transmission, alignment or combination, restriction, erasure, and destruction.</w:t>
      </w:r>
    </w:p>
    <w:p>
      <w:pPr>
        <w:keepNext/>
        <w:spacing w:after="100" w:before="260"/>
      </w:pPr>
      <w:r>
        <w:rPr>
          <w:rFonts w:ascii="Ranade" w:cs="Ranade" w:eastAsia="Ranade" w:hAnsi="Ranade"/>
          <w:b/>
          <w:bCs/>
          <w:color w:val="0B0710"/>
          <w:sz w:val="22"/>
          <w:szCs w:val="22"/>
        </w:rPr>
        <w:t xml:space="preserve">4. Categories of data subjects</w:t>
      </w:r>
    </w:p>
    <w:p>
      <w:pPr>
        <w:pStyle w:val="ListParagraph"/>
        <w:numPr>
          <w:ilvl w:val="0"/>
          <w:numId w:val="2"/>
        </w:numPr>
        <w:spacing w:after="60" w:line="290"/>
        <w:jc w:val="both"/>
      </w:pPr>
      <w:r>
        <w:rPr>
          <w:rFonts w:ascii="Satoshi" w:cs="Satoshi" w:eastAsia="Satoshi" w:hAnsi="Satoshi"/>
          <w:color w:val="221A2C"/>
          <w:sz w:val="21"/>
          <w:szCs w:val="21"/>
        </w:rPr>
        <w:t xml:space="preserve">prospects and leads of the Client</w:t>
      </w:r>
    </w:p>
    <w:p>
      <w:pPr>
        <w:pStyle w:val="ListParagraph"/>
        <w:numPr>
          <w:ilvl w:val="0"/>
          <w:numId w:val="2"/>
        </w:numPr>
        <w:spacing w:after="60" w:line="290"/>
        <w:jc w:val="both"/>
      </w:pPr>
      <w:r>
        <w:rPr>
          <w:rFonts w:ascii="Satoshi" w:cs="Satoshi" w:eastAsia="Satoshi" w:hAnsi="Satoshi"/>
          <w:color w:val="221A2C"/>
          <w:sz w:val="21"/>
          <w:szCs w:val="21"/>
        </w:rPr>
        <w:t xml:space="preserve">customers and contractual partners of the Client</w:t>
      </w:r>
    </w:p>
    <w:p>
      <w:pPr>
        <w:pStyle w:val="ListParagraph"/>
        <w:numPr>
          <w:ilvl w:val="0"/>
          <w:numId w:val="2"/>
        </w:numPr>
        <w:spacing w:after="60" w:line="290"/>
        <w:jc w:val="both"/>
      </w:pPr>
      <w:r>
        <w:rPr>
          <w:rFonts w:ascii="Satoshi" w:cs="Satoshi" w:eastAsia="Satoshi" w:hAnsi="Satoshi"/>
          <w:color w:val="221A2C"/>
          <w:sz w:val="21"/>
          <w:szCs w:val="21"/>
        </w:rPr>
        <w:t xml:space="preserve">recipients of the Client’s newsletters and email campaigns</w:t>
      </w:r>
    </w:p>
    <w:p>
      <w:pPr>
        <w:pStyle w:val="ListParagraph"/>
        <w:numPr>
          <w:ilvl w:val="0"/>
          <w:numId w:val="2"/>
        </w:numPr>
        <w:spacing w:after="60" w:line="290"/>
        <w:jc w:val="both"/>
      </w:pPr>
      <w:r>
        <w:rPr>
          <w:rFonts w:ascii="Satoshi" w:cs="Satoshi" w:eastAsia="Satoshi" w:hAnsi="Satoshi"/>
          <w:color w:val="221A2C"/>
          <w:sz w:val="21"/>
          <w:szCs w:val="21"/>
        </w:rPr>
        <w:t xml:space="preserve">visitors of the Client’s websites, landing pages, and funnels</w:t>
      </w:r>
    </w:p>
    <w:p>
      <w:pPr>
        <w:pStyle w:val="ListParagraph"/>
        <w:numPr>
          <w:ilvl w:val="0"/>
          <w:numId w:val="2"/>
        </w:numPr>
        <w:spacing w:after="60" w:line="290"/>
        <w:jc w:val="both"/>
      </w:pPr>
      <w:r>
        <w:rPr>
          <w:rFonts w:ascii="Satoshi" w:cs="Satoshi" w:eastAsia="Satoshi" w:hAnsi="Satoshi"/>
          <w:color w:val="221A2C"/>
          <w:sz w:val="21"/>
          <w:szCs w:val="21"/>
        </w:rPr>
        <w:t xml:space="preserve">participants in the Client’s courses, programs, and events</w:t>
      </w:r>
    </w:p>
    <w:p>
      <w:pPr>
        <w:pStyle w:val="ListParagraph"/>
        <w:numPr>
          <w:ilvl w:val="0"/>
          <w:numId w:val="2"/>
        </w:numPr>
        <w:spacing w:after="60" w:line="290"/>
        <w:jc w:val="both"/>
      </w:pPr>
      <w:r>
        <w:rPr>
          <w:rFonts w:ascii="Satoshi" w:cs="Satoshi" w:eastAsia="Satoshi" w:hAnsi="Satoshi"/>
          <w:color w:val="221A2C"/>
          <w:sz w:val="21"/>
          <w:szCs w:val="21"/>
        </w:rPr>
        <w:t xml:space="preserve">guests and contributors in podcast and video productions</w:t>
      </w:r>
    </w:p>
    <w:p>
      <w:pPr>
        <w:pStyle w:val="ListParagraph"/>
        <w:numPr>
          <w:ilvl w:val="0"/>
          <w:numId w:val="2"/>
        </w:numPr>
        <w:spacing w:after="60" w:line="290"/>
        <w:jc w:val="both"/>
      </w:pPr>
      <w:r>
        <w:rPr>
          <w:rFonts w:ascii="Satoshi" w:cs="Satoshi" w:eastAsia="Satoshi" w:hAnsi="Satoshi"/>
          <w:color w:val="221A2C"/>
          <w:sz w:val="21"/>
          <w:szCs w:val="21"/>
        </w:rPr>
        <w:t xml:space="preserve">employees and agents of the Client (in the context of access and collaboration)</w:t>
      </w:r>
    </w:p>
    <w:p>
      <w:pPr>
        <w:keepNext/>
        <w:spacing w:after="100" w:before="260"/>
      </w:pPr>
      <w:r>
        <w:rPr>
          <w:rFonts w:ascii="Ranade" w:cs="Ranade" w:eastAsia="Ranade" w:hAnsi="Ranade"/>
          <w:b/>
          <w:bCs/>
          <w:color w:val="0B0710"/>
          <w:sz w:val="22"/>
          <w:szCs w:val="22"/>
        </w:rPr>
        <w:t xml:space="preserve">5. Categories of personal data</w:t>
      </w:r>
    </w:p>
    <w:p>
      <w:pPr>
        <w:pStyle w:val="ListParagraph"/>
        <w:numPr>
          <w:ilvl w:val="0"/>
          <w:numId w:val="2"/>
        </w:numPr>
        <w:spacing w:after="60" w:line="290"/>
        <w:jc w:val="both"/>
      </w:pPr>
      <w:r>
        <w:rPr>
          <w:rFonts w:ascii="Satoshi" w:cs="Satoshi" w:eastAsia="Satoshi" w:hAnsi="Satoshi"/>
          <w:color w:val="221A2C"/>
          <w:sz w:val="21"/>
          <w:szCs w:val="21"/>
        </w:rPr>
        <w:t xml:space="preserve">master data (name, salutation, company and position where applicable)</w:t>
      </w:r>
    </w:p>
    <w:p>
      <w:pPr>
        <w:pStyle w:val="ListParagraph"/>
        <w:numPr>
          <w:ilvl w:val="0"/>
          <w:numId w:val="2"/>
        </w:numPr>
        <w:spacing w:after="60" w:line="290"/>
        <w:jc w:val="both"/>
      </w:pPr>
      <w:r>
        <w:rPr>
          <w:rFonts w:ascii="Satoshi" w:cs="Satoshi" w:eastAsia="Satoshi" w:hAnsi="Satoshi"/>
          <w:color w:val="221A2C"/>
          <w:sz w:val="21"/>
          <w:szCs w:val="21"/>
        </w:rPr>
        <w:t xml:space="preserve">contact data (email address, phone number, address)</w:t>
      </w:r>
    </w:p>
    <w:p>
      <w:pPr>
        <w:pStyle w:val="ListParagraph"/>
        <w:numPr>
          <w:ilvl w:val="0"/>
          <w:numId w:val="2"/>
        </w:numPr>
        <w:spacing w:after="60" w:line="290"/>
        <w:jc w:val="both"/>
      </w:pPr>
      <w:r>
        <w:rPr>
          <w:rFonts w:ascii="Satoshi" w:cs="Satoshi" w:eastAsia="Satoshi" w:hAnsi="Satoshi"/>
          <w:color w:val="221A2C"/>
          <w:sz w:val="21"/>
          <w:szCs w:val="21"/>
        </w:rPr>
        <w:t xml:space="preserve">information from forms, questionnaires, and quiz funnels (e.g. goals, interests, answers)</w:t>
      </w:r>
    </w:p>
    <w:p>
      <w:pPr>
        <w:pStyle w:val="ListParagraph"/>
        <w:numPr>
          <w:ilvl w:val="0"/>
          <w:numId w:val="2"/>
        </w:numPr>
        <w:spacing w:after="60" w:line="290"/>
        <w:jc w:val="both"/>
      </w:pPr>
      <w:r>
        <w:rPr>
          <w:rFonts w:ascii="Satoshi" w:cs="Satoshi" w:eastAsia="Satoshi" w:hAnsi="Satoshi"/>
          <w:color w:val="221A2C"/>
          <w:sz w:val="21"/>
          <w:szCs w:val="21"/>
        </w:rPr>
        <w:t xml:space="preserve">appointment and booking data</w:t>
      </w:r>
    </w:p>
    <w:p>
      <w:pPr>
        <w:pStyle w:val="ListParagraph"/>
        <w:numPr>
          <w:ilvl w:val="0"/>
          <w:numId w:val="2"/>
        </w:numPr>
        <w:spacing w:after="60" w:line="290"/>
        <w:jc w:val="both"/>
      </w:pPr>
      <w:r>
        <w:rPr>
          <w:rFonts w:ascii="Satoshi" w:cs="Satoshi" w:eastAsia="Satoshi" w:hAnsi="Satoshi"/>
          <w:color w:val="221A2C"/>
          <w:sz w:val="21"/>
          <w:szCs w:val="21"/>
        </w:rPr>
        <w:t xml:space="preserve">communication data (email correspondence, messages, call notes)</w:t>
      </w:r>
    </w:p>
    <w:p>
      <w:pPr>
        <w:pStyle w:val="ListParagraph"/>
        <w:numPr>
          <w:ilvl w:val="0"/>
          <w:numId w:val="2"/>
        </w:numPr>
        <w:spacing w:after="60" w:line="290"/>
        <w:jc w:val="both"/>
      </w:pPr>
      <w:r>
        <w:rPr>
          <w:rFonts w:ascii="Satoshi" w:cs="Satoshi" w:eastAsia="Satoshi" w:hAnsi="Satoshi"/>
          <w:color w:val="221A2C"/>
          <w:sz w:val="21"/>
          <w:szCs w:val="21"/>
        </w:rPr>
        <w:t xml:space="preserve">contract and order data of the Client vis-a-vis its customers (e.g. booked offer, status); no complete payment data</w:t>
      </w:r>
    </w:p>
    <w:p>
      <w:pPr>
        <w:pStyle w:val="ListParagraph"/>
        <w:numPr>
          <w:ilvl w:val="0"/>
          <w:numId w:val="2"/>
        </w:numPr>
        <w:spacing w:after="60" w:line="290"/>
        <w:jc w:val="both"/>
      </w:pPr>
      <w:r>
        <w:rPr>
          <w:rFonts w:ascii="Satoshi" w:cs="Satoshi" w:eastAsia="Satoshi" w:hAnsi="Satoshi"/>
          <w:color w:val="221A2C"/>
          <w:sz w:val="21"/>
          <w:szCs w:val="21"/>
        </w:rPr>
        <w:t xml:space="preserve">usage and measurement data (e.g. page views, clicks, conversion events, IP address, device information)</w:t>
      </w:r>
    </w:p>
    <w:p>
      <w:pPr>
        <w:pStyle w:val="ListParagraph"/>
        <w:numPr>
          <w:ilvl w:val="0"/>
          <w:numId w:val="2"/>
        </w:numPr>
        <w:spacing w:after="60" w:line="290"/>
        <w:jc w:val="both"/>
      </w:pPr>
      <w:r>
        <w:rPr>
          <w:rFonts w:ascii="Satoshi" w:cs="Satoshi" w:eastAsia="Satoshi" w:hAnsi="Satoshi"/>
          <w:color w:val="221A2C"/>
          <w:sz w:val="21"/>
          <w:szCs w:val="21"/>
        </w:rPr>
        <w:t xml:space="preserve">photo, audio, and video recordings (in the context of productions)</w:t>
      </w:r>
    </w:p>
    <w:p>
      <w:pPr>
        <w:keepNext/>
        <w:spacing w:after="100" w:before="260"/>
      </w:pPr>
      <w:r>
        <w:rPr>
          <w:rFonts w:ascii="Ranade" w:cs="Ranade" w:eastAsia="Ranade" w:hAnsi="Ranade"/>
          <w:b/>
          <w:bCs/>
          <w:color w:val="0B0710"/>
          <w:sz w:val="22"/>
          <w:szCs w:val="22"/>
        </w:rPr>
        <w:t xml:space="preserve">6. Special categories of personal data (Art. 9 GDPR)</w:t>
      </w:r>
    </w:p>
    <w:p>
      <w:pPr>
        <w:spacing w:after="120" w:line="300"/>
        <w:jc w:val="both"/>
      </w:pPr>
      <w:r>
        <w:rPr>
          <w:rFonts w:ascii="Satoshi" w:cs="Satoshi" w:eastAsia="Satoshi" w:hAnsi="Satoshi"/>
          <w:color w:val="221A2C"/>
          <w:sz w:val="21"/>
          <w:szCs w:val="21"/>
        </w:rPr>
        <w:t xml:space="preserve">Special categories of personal data are not part of the engagement. If, exceptionally, special categories are to be processed (e.g. health data in connection with offers in the health sector), this must be agreed separately before the processing begins and recorded here:</w:t>
      </w:r>
    </w:p>
    <w:p>
      <w:pPr>
        <w:spacing w:after="40"/>
      </w:pPr>
    </w:p>
    <w:tbl>
      <w:tblPr>
        <w:tblW w:type="dxa" w:w="9026"/>
        <w:tblBorders>
          <w:top w:val="none" w:color="FFFFFF" w:sz="0"/>
          <w:left w:val="none" w:color="FFFFFF" w:sz="0"/>
          <w:bottom w:val="none" w:color="FFFFFF" w:sz="0"/>
          <w:right w:val="none" w:color="FFFFFF" w:sz="0"/>
          <w:insideH w:val="single" w:color="auto" w:sz="4"/>
          <w:insideV w:val="single" w:color="auto" w:sz="4"/>
        </w:tblBorders>
        <w:tblCellMar>
          <w:top w:type="dxa" w:w="60"/>
          <w:left w:type="dxa" w:w="120"/>
          <w:bottom w:type="dxa" w:w="60"/>
          <w:right w:type="dxa" w:w="120"/>
        </w:tblCellMar>
      </w:tblPr>
      <w:tblGrid>
        <w:gridCol w:w="2800"/>
        <w:gridCol w:w="6226"/>
      </w:tblGrid>
      <w:tr>
        <w:trPr>
          <w:trHeight w:val="460" w:hRule="atLeast"/>
        </w:trPr>
        <w:tc>
          <w:tcPr>
            <w:tcW w:type="dxa" w:w="2800"/>
            <w:tcBorders>
              <w:top w:val="none" w:color="FFFFFF" w:sz="0"/>
              <w:left w:val="none" w:color="FFFFFF" w:sz="0"/>
              <w:bottom w:val="none" w:color="FFFFFF" w:sz="0"/>
              <w:right w:val="none" w:color="FFFFFF" w:sz="0"/>
            </w:tcBorders>
            <w:vAlign w:val="center"/>
          </w:tcPr>
          <w:p>
            <w:pPr>
              <w:spacing w:after="0"/>
            </w:pPr>
            <w:r>
              <w:rPr>
                <w:rFonts w:ascii="Satoshi" w:cs="Satoshi" w:eastAsia="Satoshi" w:hAnsi="Satoshi"/>
                <w:color w:val="6E6280"/>
                <w:sz w:val="19"/>
                <w:szCs w:val="19"/>
              </w:rPr>
              <w:t xml:space="preserve">Special categories</w:t>
            </w:r>
          </w:p>
        </w:tc>
        <w:tc>
          <w:tcPr>
            <w:tcW w:type="dxa" w:w="6226"/>
            <w:tcBorders>
              <w:top w:val="single" w:color="E7DFF0" w:sz="4"/>
              <w:left w:val="single" w:color="E7DFF0" w:sz="4"/>
              <w:bottom w:val="single" w:color="E7DFF0" w:sz="4"/>
              <w:right w:val="single" w:color="E7DFF0" w:sz="4"/>
            </w:tcBorders>
            <w:shd w:fill="FAF7FD" w:val="clear"/>
            <w:vAlign w:val="center"/>
          </w:tcPr>
          <w:p>
            <w:pPr>
              <w:spacing w:after="0"/>
            </w:pPr>
          </w:p>
        </w:tc>
      </w:tr>
      <w:tr>
        <w:trPr>
          <w:trHeight w:val="460" w:hRule="atLeast"/>
        </w:trPr>
        <w:tc>
          <w:tcPr>
            <w:tcW w:type="dxa" w:w="2800"/>
            <w:tcBorders>
              <w:top w:val="none" w:color="FFFFFF" w:sz="0"/>
              <w:left w:val="none" w:color="FFFFFF" w:sz="0"/>
              <w:bottom w:val="none" w:color="FFFFFF" w:sz="0"/>
              <w:right w:val="none" w:color="FFFFFF" w:sz="0"/>
            </w:tcBorders>
            <w:vAlign w:val="center"/>
          </w:tcPr>
          <w:p>
            <w:pPr>
              <w:spacing w:after="0"/>
            </w:pPr>
            <w:r>
              <w:rPr>
                <w:rFonts w:ascii="Satoshi" w:cs="Satoshi" w:eastAsia="Satoshi" w:hAnsi="Satoshi"/>
                <w:color w:val="6E6280"/>
                <w:sz w:val="19"/>
                <w:szCs w:val="19"/>
              </w:rPr>
              <w:t xml:space="preserve">Protective measures</w:t>
            </w:r>
          </w:p>
        </w:tc>
        <w:tc>
          <w:tcPr>
            <w:tcW w:type="dxa" w:w="6226"/>
            <w:tcBorders>
              <w:top w:val="single" w:color="E7DFF0" w:sz="4"/>
              <w:left w:val="single" w:color="E7DFF0" w:sz="4"/>
              <w:bottom w:val="single" w:color="E7DFF0" w:sz="4"/>
              <w:right w:val="single" w:color="E7DFF0" w:sz="4"/>
            </w:tcBorders>
            <w:shd w:fill="FAF7FD" w:val="clear"/>
            <w:vAlign w:val="center"/>
          </w:tcPr>
          <w:p>
            <w:pPr>
              <w:spacing w:after="0"/>
            </w:pPr>
          </w:p>
        </w:tc>
      </w:tr>
    </w:tbl>
    <w:p>
      <w:pPr>
        <w:spacing w:after="60"/>
      </w:pPr>
    </w:p>
    <w:p>
      <w:pPr>
        <w:keepNext/>
        <w:spacing w:after="100" w:before="260"/>
      </w:pPr>
      <w:r>
        <w:rPr>
          <w:rFonts w:ascii="Ranade" w:cs="Ranade" w:eastAsia="Ranade" w:hAnsi="Ranade"/>
          <w:b/>
          <w:bCs/>
          <w:color w:val="0B0710"/>
          <w:sz w:val="22"/>
          <w:szCs w:val="22"/>
        </w:rPr>
        <w:t xml:space="preserve">7. Duration of the processing</w:t>
      </w:r>
    </w:p>
    <w:p>
      <w:pPr>
        <w:spacing w:after="120" w:line="300"/>
        <w:jc w:val="both"/>
      </w:pPr>
      <w:r>
        <w:rPr>
          <w:rFonts w:ascii="Satoshi" w:cs="Satoshi" w:eastAsia="Satoshi" w:hAnsi="Satoshi"/>
          <w:color w:val="221A2C"/>
          <w:sz w:val="21"/>
          <w:szCs w:val="21"/>
        </w:rPr>
        <w:t xml:space="preserve">The duration corresponds to the term of the Principal Agreement (Clause 1(2) of this Agreement).</w:t>
      </w:r>
    </w:p>
    <w:p>
      <w:pPr>
        <w:pageBreakBefore/>
        <w:spacing w:after="200" w:before="0"/>
      </w:pPr>
      <w:r>
        <w:rPr>
          <w:rFonts w:ascii="Ranade" w:cs="Ranade" w:eastAsia="Ranade" w:hAnsi="Ranade"/>
          <w:b/>
          <w:bCs/>
          <w:color w:val="0B0710"/>
          <w:sz w:val="32"/>
          <w:szCs w:val="32"/>
        </w:rPr>
        <w:t xml:space="preserve">Annex 2: Technical and Organisational Measures (TOMs)</w:t>
      </w:r>
    </w:p>
    <w:p>
      <w:pPr>
        <w:spacing w:after="120" w:line="300"/>
        <w:jc w:val="both"/>
      </w:pPr>
      <w:r>
        <w:rPr>
          <w:rFonts w:ascii="Satoshi" w:cs="Satoshi" w:eastAsia="Satoshi" w:hAnsi="Satoshi"/>
          <w:color w:val="221A2C"/>
          <w:sz w:val="21"/>
          <w:szCs w:val="21"/>
        </w:rPr>
        <w:t xml:space="preserve">The Processor operates as a fully digital agency without its own server infrastructure. Processing takes place on managed cloud platforms of professional providers (see Annex 3) and on secured work devices. As of: August 2026.</w:t>
      </w:r>
    </w:p>
    <w:p>
      <w:pPr>
        <w:keepNext/>
        <w:spacing w:after="100" w:before="260"/>
      </w:pPr>
      <w:r>
        <w:rPr>
          <w:rFonts w:ascii="Ranade" w:cs="Ranade" w:eastAsia="Ranade" w:hAnsi="Ranade"/>
          <w:b/>
          <w:bCs/>
          <w:color w:val="0B0710"/>
          <w:sz w:val="22"/>
          <w:szCs w:val="22"/>
        </w:rPr>
        <w:t xml:space="preserve">1. Confidentiality (Art. 32(1)(b) GDPR)</w:t>
      </w:r>
    </w:p>
    <w:p>
      <w:pPr>
        <w:pStyle w:val="ListParagraph"/>
        <w:numPr>
          <w:ilvl w:val="0"/>
          <w:numId w:val="2"/>
        </w:numPr>
        <w:spacing w:after="60" w:line="290"/>
        <w:jc w:val="both"/>
      </w:pPr>
      <w:r>
        <w:rPr>
          <w:rFonts w:ascii="Satoshi" w:cs="Satoshi" w:eastAsia="Satoshi" w:hAnsi="Satoshi"/>
          <w:b/>
          <w:bCs/>
          <w:color w:val="221A2C"/>
          <w:sz w:val="21"/>
          <w:szCs w:val="21"/>
        </w:rPr>
        <w:t xml:space="preserve">Access control: </w:t>
      </w:r>
      <w:r>
        <w:rPr>
          <w:rFonts w:ascii="Satoshi" w:cs="Satoshi" w:eastAsia="Satoshi" w:hAnsi="Satoshi"/>
          <w:color w:val="221A2C"/>
          <w:sz w:val="21"/>
          <w:szCs w:val="21"/>
        </w:rPr>
        <w:t xml:space="preserve">individual user accounts; strong, unique passwords managed in a password manager; two-factor authentication for central systems (CRM, hosting, email, advertising accounts)</w:t>
      </w:r>
    </w:p>
    <w:p>
      <w:pPr>
        <w:pStyle w:val="ListParagraph"/>
        <w:numPr>
          <w:ilvl w:val="0"/>
          <w:numId w:val="2"/>
        </w:numPr>
        <w:spacing w:after="60" w:line="290"/>
        <w:jc w:val="both"/>
      </w:pPr>
      <w:r>
        <w:rPr>
          <w:rFonts w:ascii="Satoshi" w:cs="Satoshi" w:eastAsia="Satoshi" w:hAnsi="Satoshi"/>
          <w:b/>
          <w:bCs/>
          <w:color w:val="221A2C"/>
          <w:sz w:val="21"/>
          <w:szCs w:val="21"/>
        </w:rPr>
        <w:t xml:space="preserve">Authorisation control: </w:t>
      </w:r>
      <w:r>
        <w:rPr>
          <w:rFonts w:ascii="Satoshi" w:cs="Satoshi" w:eastAsia="Satoshi" w:hAnsi="Satoshi"/>
          <w:color w:val="221A2C"/>
          <w:sz w:val="21"/>
          <w:szCs w:val="21"/>
        </w:rPr>
        <w:t xml:space="preserve">permissions granted on a need-to-know basis; access only for project members; prompt revocation of access when staff leave</w:t>
      </w:r>
    </w:p>
    <w:p>
      <w:pPr>
        <w:pStyle w:val="ListParagraph"/>
        <w:numPr>
          <w:ilvl w:val="0"/>
          <w:numId w:val="2"/>
        </w:numPr>
        <w:spacing w:after="60" w:line="290"/>
        <w:jc w:val="both"/>
      </w:pPr>
      <w:r>
        <w:rPr>
          <w:rFonts w:ascii="Satoshi" w:cs="Satoshi" w:eastAsia="Satoshi" w:hAnsi="Satoshi"/>
          <w:b/>
          <w:bCs/>
          <w:color w:val="221A2C"/>
          <w:sz w:val="21"/>
          <w:szCs w:val="21"/>
        </w:rPr>
        <w:t xml:space="preserve">Separation control: </w:t>
      </w:r>
      <w:r>
        <w:rPr>
          <w:rFonts w:ascii="Satoshi" w:cs="Satoshi" w:eastAsia="Satoshi" w:hAnsi="Satoshi"/>
          <w:color w:val="221A2C"/>
          <w:sz w:val="21"/>
          <w:szCs w:val="21"/>
        </w:rPr>
        <w:t xml:space="preserve">logical client separation; a dedicated CRM sub-account and separate filing structures for each client</w:t>
      </w:r>
    </w:p>
    <w:p>
      <w:pPr>
        <w:pStyle w:val="ListParagraph"/>
        <w:numPr>
          <w:ilvl w:val="0"/>
          <w:numId w:val="2"/>
        </w:numPr>
        <w:spacing w:after="60" w:line="290"/>
        <w:jc w:val="both"/>
      </w:pPr>
      <w:r>
        <w:rPr>
          <w:rFonts w:ascii="Satoshi" w:cs="Satoshi" w:eastAsia="Satoshi" w:hAnsi="Satoshi"/>
          <w:b/>
          <w:bCs/>
          <w:color w:val="221A2C"/>
          <w:sz w:val="21"/>
          <w:szCs w:val="21"/>
        </w:rPr>
        <w:t xml:space="preserve">Device security: </w:t>
      </w:r>
      <w:r>
        <w:rPr>
          <w:rFonts w:ascii="Satoshi" w:cs="Satoshi" w:eastAsia="Satoshi" w:hAnsi="Satoshi"/>
          <w:color w:val="221A2C"/>
          <w:sz w:val="21"/>
          <w:szCs w:val="21"/>
        </w:rPr>
        <w:t xml:space="preserve">up-to-date operating systems and security updates; full-disk encryption; automatic screen lock</w:t>
      </w:r>
    </w:p>
    <w:p>
      <w:pPr>
        <w:keepNext/>
        <w:spacing w:after="100" w:before="260"/>
      </w:pPr>
      <w:r>
        <w:rPr>
          <w:rFonts w:ascii="Ranade" w:cs="Ranade" w:eastAsia="Ranade" w:hAnsi="Ranade"/>
          <w:b/>
          <w:bCs/>
          <w:color w:val="0B0710"/>
          <w:sz w:val="22"/>
          <w:szCs w:val="22"/>
        </w:rPr>
        <w:t xml:space="preserve">2. Integrity (Art. 32(1)(b) GDPR)</w:t>
      </w:r>
    </w:p>
    <w:p>
      <w:pPr>
        <w:pStyle w:val="ListParagraph"/>
        <w:numPr>
          <w:ilvl w:val="0"/>
          <w:numId w:val="2"/>
        </w:numPr>
        <w:spacing w:after="60" w:line="290"/>
        <w:jc w:val="both"/>
      </w:pPr>
      <w:r>
        <w:rPr>
          <w:rFonts w:ascii="Satoshi" w:cs="Satoshi" w:eastAsia="Satoshi" w:hAnsi="Satoshi"/>
          <w:b/>
          <w:bCs/>
          <w:color w:val="221A2C"/>
          <w:sz w:val="21"/>
          <w:szCs w:val="21"/>
        </w:rPr>
        <w:t xml:space="preserve">Transfer control: </w:t>
      </w:r>
      <w:r>
        <w:rPr>
          <w:rFonts w:ascii="Satoshi" w:cs="Satoshi" w:eastAsia="Satoshi" w:hAnsi="Satoshi"/>
          <w:color w:val="221A2C"/>
          <w:sz w:val="21"/>
          <w:szCs w:val="21"/>
        </w:rPr>
        <w:t xml:space="preserve">data transfers exclusively over encrypted connections (TLS/HTTPS); no transfer of personal data on unencrypted storage media</w:t>
      </w:r>
    </w:p>
    <w:p>
      <w:pPr>
        <w:pStyle w:val="ListParagraph"/>
        <w:numPr>
          <w:ilvl w:val="0"/>
          <w:numId w:val="2"/>
        </w:numPr>
        <w:spacing w:after="60" w:line="290"/>
        <w:jc w:val="both"/>
      </w:pPr>
      <w:r>
        <w:rPr>
          <w:rFonts w:ascii="Satoshi" w:cs="Satoshi" w:eastAsia="Satoshi" w:hAnsi="Satoshi"/>
          <w:b/>
          <w:bCs/>
          <w:color w:val="221A2C"/>
          <w:sz w:val="21"/>
          <w:szCs w:val="21"/>
        </w:rPr>
        <w:t xml:space="preserve">Input control: </w:t>
      </w:r>
      <w:r>
        <w:rPr>
          <w:rFonts w:ascii="Satoshi" w:cs="Satoshi" w:eastAsia="Satoshi" w:hAnsi="Satoshi"/>
          <w:color w:val="221A2C"/>
          <w:sz w:val="21"/>
          <w:szCs w:val="21"/>
        </w:rPr>
        <w:t xml:space="preserve">traceability of changes via the logging and activity functions of the platforms used</w:t>
      </w:r>
    </w:p>
    <w:p>
      <w:pPr>
        <w:keepNext/>
        <w:spacing w:after="100" w:before="260"/>
      </w:pPr>
      <w:r>
        <w:rPr>
          <w:rFonts w:ascii="Ranade" w:cs="Ranade" w:eastAsia="Ranade" w:hAnsi="Ranade"/>
          <w:b/>
          <w:bCs/>
          <w:color w:val="0B0710"/>
          <w:sz w:val="22"/>
          <w:szCs w:val="22"/>
        </w:rPr>
        <w:t xml:space="preserve">3. Availability and resilience (Art. 32(1)(b) and (c) GDPR)</w:t>
      </w:r>
    </w:p>
    <w:p>
      <w:pPr>
        <w:pStyle w:val="ListParagraph"/>
        <w:numPr>
          <w:ilvl w:val="0"/>
          <w:numId w:val="2"/>
        </w:numPr>
        <w:spacing w:after="60" w:line="290"/>
        <w:jc w:val="both"/>
      </w:pPr>
      <w:r>
        <w:rPr>
          <w:rFonts w:ascii="Satoshi" w:cs="Satoshi" w:eastAsia="Satoshi" w:hAnsi="Satoshi"/>
          <w:color w:val="221A2C"/>
          <w:sz w:val="21"/>
          <w:szCs w:val="21"/>
        </w:rPr>
        <w:t xml:space="preserve">storage in redundant data centers of the cloud providers used, with backup concepts</w:t>
      </w:r>
    </w:p>
    <w:p>
      <w:pPr>
        <w:pStyle w:val="ListParagraph"/>
        <w:numPr>
          <w:ilvl w:val="0"/>
          <w:numId w:val="2"/>
        </w:numPr>
        <w:spacing w:after="60" w:line="290"/>
        <w:jc w:val="both"/>
      </w:pPr>
      <w:r>
        <w:rPr>
          <w:rFonts w:ascii="Satoshi" w:cs="Satoshi" w:eastAsia="Satoshi" w:hAnsi="Satoshi"/>
          <w:color w:val="221A2C"/>
          <w:sz w:val="21"/>
          <w:szCs w:val="21"/>
        </w:rPr>
        <w:t xml:space="preserve">recoverability via the export and restore functions of the platforms used</w:t>
      </w:r>
    </w:p>
    <w:p>
      <w:pPr>
        <w:keepNext/>
        <w:spacing w:after="100" w:before="260"/>
      </w:pPr>
      <w:r>
        <w:rPr>
          <w:rFonts w:ascii="Ranade" w:cs="Ranade" w:eastAsia="Ranade" w:hAnsi="Ranade"/>
          <w:b/>
          <w:bCs/>
          <w:color w:val="0B0710"/>
          <w:sz w:val="22"/>
          <w:szCs w:val="22"/>
        </w:rPr>
        <w:t xml:space="preserve">4. Procedures for regular testing, assessment, and evaluation (Art. 32(1)(d) GDPR)</w:t>
      </w:r>
    </w:p>
    <w:p>
      <w:pPr>
        <w:pStyle w:val="ListParagraph"/>
        <w:numPr>
          <w:ilvl w:val="0"/>
          <w:numId w:val="2"/>
        </w:numPr>
        <w:spacing w:after="60" w:line="290"/>
        <w:jc w:val="both"/>
      </w:pPr>
      <w:r>
        <w:rPr>
          <w:rFonts w:ascii="Satoshi" w:cs="Satoshi" w:eastAsia="Satoshi" w:hAnsi="Satoshi"/>
          <w:color w:val="221A2C"/>
          <w:sz w:val="21"/>
          <w:szCs w:val="21"/>
        </w:rPr>
        <w:t xml:space="preserve">regular review of access, permissions, and services used</w:t>
      </w:r>
    </w:p>
    <w:p>
      <w:pPr>
        <w:pStyle w:val="ListParagraph"/>
        <w:numPr>
          <w:ilvl w:val="0"/>
          <w:numId w:val="2"/>
        </w:numPr>
        <w:spacing w:after="60" w:line="290"/>
        <w:jc w:val="both"/>
      </w:pPr>
      <w:r>
        <w:rPr>
          <w:rFonts w:ascii="Satoshi" w:cs="Satoshi" w:eastAsia="Satoshi" w:hAnsi="Satoshi"/>
          <w:color w:val="221A2C"/>
          <w:sz w:val="21"/>
          <w:szCs w:val="21"/>
        </w:rPr>
        <w:t xml:space="preserve">privacy-friendly selection of sub-processors; conclusion of data processing agreements</w:t>
      </w:r>
    </w:p>
    <w:p>
      <w:pPr>
        <w:pStyle w:val="ListParagraph"/>
        <w:numPr>
          <w:ilvl w:val="0"/>
          <w:numId w:val="2"/>
        </w:numPr>
        <w:spacing w:after="60" w:line="290"/>
        <w:jc w:val="both"/>
      </w:pPr>
      <w:r>
        <w:rPr>
          <w:rFonts w:ascii="Satoshi" w:cs="Satoshi" w:eastAsia="Satoshi" w:hAnsi="Satoshi"/>
          <w:color w:val="221A2C"/>
          <w:sz w:val="21"/>
          <w:szCs w:val="21"/>
        </w:rPr>
        <w:t xml:space="preserve">confidentiality commitments of all employees and freelancers</w:t>
      </w:r>
    </w:p>
    <w:p>
      <w:pPr>
        <w:pStyle w:val="ListParagraph"/>
        <w:numPr>
          <w:ilvl w:val="0"/>
          <w:numId w:val="2"/>
        </w:numPr>
        <w:spacing w:after="60" w:line="290"/>
        <w:jc w:val="both"/>
      </w:pPr>
      <w:r>
        <w:rPr>
          <w:rFonts w:ascii="Satoshi" w:cs="Satoshi" w:eastAsia="Satoshi" w:hAnsi="Satoshi"/>
          <w:color w:val="221A2C"/>
          <w:sz w:val="21"/>
          <w:szCs w:val="21"/>
        </w:rPr>
        <w:t xml:space="preserve">structured handling of incidents pursuant to Clause 9 of this Agreement (notification, documentation, remediation)</w:t>
      </w:r>
    </w:p>
    <w:p>
      <w:pPr>
        <w:pageBreakBefore/>
        <w:spacing w:after="200" w:before="0"/>
      </w:pPr>
      <w:r>
        <w:rPr>
          <w:rFonts w:ascii="Ranade" w:cs="Ranade" w:eastAsia="Ranade" w:hAnsi="Ranade"/>
          <w:b/>
          <w:bCs/>
          <w:color w:val="0B0710"/>
          <w:sz w:val="32"/>
          <w:szCs w:val="32"/>
        </w:rPr>
        <w:t xml:space="preserve">Annex 3: Approved Sub-Processors</w:t>
      </w:r>
    </w:p>
    <w:p>
      <w:pPr>
        <w:spacing w:after="120" w:line="300"/>
        <w:jc w:val="both"/>
      </w:pPr>
      <w:r>
        <w:rPr>
          <w:rFonts w:ascii="Satoshi" w:cs="Satoshi" w:eastAsia="Satoshi" w:hAnsi="Satoshi"/>
          <w:color w:val="221A2C"/>
          <w:sz w:val="21"/>
          <w:szCs w:val="21"/>
        </w:rPr>
        <w:t xml:space="preserve">The Processor currently engages the following sub-processors. Not every sub-processor is used in every project; the services agreed in the Principal Agreement are decisive.</w:t>
      </w:r>
    </w:p>
    <w:tbl>
      <w:tblPr>
        <w:tblW w:type="dxa" w:w="9026"/>
        <w:tblBorders>
          <w:top w:val="single" w:color="auto" w:sz="4"/>
          <w:left w:val="single" w:color="auto" w:sz="4"/>
          <w:bottom w:val="single" w:color="auto" w:sz="4"/>
          <w:right w:val="single" w:color="auto" w:sz="4"/>
          <w:insideH w:val="single" w:color="auto" w:sz="4"/>
          <w:insideV w:val="single" w:color="auto" w:sz="4"/>
        </w:tblBorders>
        <w:tblCellMar>
          <w:top w:type="dxa" w:w="80"/>
          <w:left w:type="dxa" w:w="120"/>
          <w:bottom w:type="dxa" w:w="80"/>
          <w:right w:type="dxa" w:w="120"/>
        </w:tblCellMar>
      </w:tblPr>
      <w:tblGrid>
        <w:gridCol w:w="2500"/>
        <w:gridCol w:w="1900"/>
        <w:gridCol w:w="4626"/>
      </w:tblGrid>
      <w:tr>
        <w:trPr>
          <w:tblHeader/>
        </w:trPr>
        <w:tc>
          <w:tcPr>
            <w:tcW w:type="dxa" w:w="2500"/>
            <w:tcBorders>
              <w:top w:val="single" w:color="E7DFF0" w:sz="4"/>
              <w:left w:val="single" w:color="E7DFF0" w:sz="4"/>
              <w:bottom w:val="single" w:color="E7DFF0" w:sz="4"/>
              <w:right w:val="single" w:color="E7DFF0" w:sz="4"/>
            </w:tcBorders>
            <w:shd w:fill="0B0710" w:val="clear"/>
            <w:vAlign w:val="center"/>
          </w:tcPr>
          <w:p>
            <w:pPr>
              <w:spacing w:after="0"/>
            </w:pPr>
            <w:r>
              <w:rPr>
                <w:rFonts w:ascii="Ranade" w:cs="Ranade" w:eastAsia="Ranade" w:hAnsi="Ranade"/>
                <w:b/>
                <w:bCs/>
                <w:color w:val="FFFFFF"/>
                <w:sz w:val="19"/>
                <w:szCs w:val="19"/>
              </w:rPr>
              <w:t xml:space="preserve">Company</w:t>
            </w:r>
          </w:p>
        </w:tc>
        <w:tc>
          <w:tcPr>
            <w:tcW w:type="dxa" w:w="1900"/>
            <w:tcBorders>
              <w:top w:val="single" w:color="E7DFF0" w:sz="4"/>
              <w:left w:val="single" w:color="E7DFF0" w:sz="4"/>
              <w:bottom w:val="single" w:color="E7DFF0" w:sz="4"/>
              <w:right w:val="single" w:color="E7DFF0" w:sz="4"/>
            </w:tcBorders>
            <w:shd w:fill="0B0710" w:val="clear"/>
            <w:vAlign w:val="center"/>
          </w:tcPr>
          <w:p>
            <w:pPr>
              <w:spacing w:after="0"/>
            </w:pPr>
            <w:r>
              <w:rPr>
                <w:rFonts w:ascii="Ranade" w:cs="Ranade" w:eastAsia="Ranade" w:hAnsi="Ranade"/>
                <w:b/>
                <w:bCs/>
                <w:color w:val="FFFFFF"/>
                <w:sz w:val="19"/>
                <w:szCs w:val="19"/>
              </w:rPr>
              <w:t xml:space="preserve">Registered office</w:t>
            </w:r>
          </w:p>
        </w:tc>
        <w:tc>
          <w:tcPr>
            <w:tcW w:type="dxa" w:w="4626"/>
            <w:tcBorders>
              <w:top w:val="single" w:color="E7DFF0" w:sz="4"/>
              <w:left w:val="single" w:color="E7DFF0" w:sz="4"/>
              <w:bottom w:val="single" w:color="E7DFF0" w:sz="4"/>
              <w:right w:val="single" w:color="E7DFF0" w:sz="4"/>
            </w:tcBorders>
            <w:shd w:fill="0B0710" w:val="clear"/>
            <w:vAlign w:val="center"/>
          </w:tcPr>
          <w:p>
            <w:pPr>
              <w:spacing w:after="0"/>
            </w:pPr>
            <w:r>
              <w:rPr>
                <w:rFonts w:ascii="Ranade" w:cs="Ranade" w:eastAsia="Ranade" w:hAnsi="Ranade"/>
                <w:b/>
                <w:bCs/>
                <w:color w:val="FFFFFF"/>
                <w:sz w:val="19"/>
                <w:szCs w:val="19"/>
              </w:rPr>
              <w:t xml:space="preserve">Service</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HighLevel Inc.</w:t>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USA (Texas)</w:t>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CRM platform, forms, funnels, email delivery, appointment booking; used via the white-label platform FinSuites</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Cloudflare, Inc.</w:t>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USA (California)</w:t>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hosting and delivery of websites, landing pages, and funnels (Pages, CDN, security services)</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Google LLC</w:t>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USA / Ireland</w:t>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email, calendar, and cloud storage for project files (Google Workspace)</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Anthropic PBC</w:t>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USA (California)</w:t>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AI-supported text and content creation (e.g. processing of transcripts and briefings)</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Submagic</w:t>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France</w:t>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video editing and automatic subtitling</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
            </w:r>
          </w:p>
        </w:tc>
      </w:tr>
    </w:tbl>
    <w:p>
      <w:pPr>
        <w:spacing w:after="160"/>
      </w:pPr>
    </w:p>
    <w:p>
      <w:pPr>
        <w:spacing w:after="120" w:line="300"/>
        <w:jc w:val="both"/>
      </w:pPr>
      <w:r>
        <w:rPr>
          <w:rFonts w:ascii="Satoshi" w:cs="Satoshi" w:eastAsia="Satoshi" w:hAnsi="Satoshi"/>
          <w:b/>
          <w:bCs/>
          <w:color w:val="221A2C"/>
          <w:sz w:val="21"/>
          <w:szCs w:val="21"/>
        </w:rPr>
        <w:t xml:space="preserve">Note: </w:t>
      </w:r>
      <w:r>
        <w:rPr>
          <w:rFonts w:ascii="Satoshi" w:cs="Satoshi" w:eastAsia="Satoshi" w:hAnsi="Satoshi"/>
          <w:color w:val="221A2C"/>
          <w:sz w:val="21"/>
          <w:szCs w:val="21"/>
        </w:rPr>
        <w:t xml:space="preserve">Services which the Client uses on its own responsibility or has commissioned itself (e.g. the Client’s own Meta advertising account, payment service providers such as Stripe or PayPal, or the Client’s course platform) are not sub-processors of the Processor. The agreements between the Client and Meta apply to the Meta advertising account, including the joint controllership agreement pursuant to Art. 26 GDPR.</w:t>
      </w:r>
    </w:p>
    <w:p>
      <w:pPr>
        <w:pageBreakBefore/>
        <w:spacing w:after="200" w:before="0"/>
      </w:pPr>
      <w:r>
        <w:rPr>
          <w:rFonts w:ascii="Ranade" w:cs="Ranade" w:eastAsia="Ranade" w:hAnsi="Ranade"/>
          <w:b/>
          <w:bCs/>
          <w:color w:val="0B0710"/>
          <w:sz w:val="32"/>
          <w:szCs w:val="32"/>
        </w:rPr>
        <w:t xml:space="preserve">Deutsche Fassung: Vereinbarung über die Auftragsverarbeitung</w:t>
      </w:r>
    </w:p>
    <w:p>
      <w:pPr>
        <w:spacing w:after="120" w:line="290"/>
      </w:pPr>
      <w:r>
        <w:rPr>
          <w:rFonts w:ascii="Satoshi" w:cs="Satoshi" w:eastAsia="Satoshi" w:hAnsi="Satoshi"/>
          <w:i/>
          <w:iCs/>
          <w:color w:val="6E6280"/>
          <w:sz w:val="19"/>
          <w:szCs w:val="19"/>
        </w:rPr>
        <w:t xml:space="preserve">Die folgende deutsche Fassung dient ausschließlich der Information (Lesefassung). Rechtlich maßgeblich ist die englische Fassung; Eintragungen und Unterschriften erfolgen dort.</w:t>
      </w:r>
    </w:p>
    <w:p>
      <w:pPr>
        <w:keepNext/>
        <w:spacing w:after="140" w:before="320"/>
      </w:pPr>
      <w:r>
        <w:rPr>
          <w:rFonts w:ascii="Ranade" w:cs="Ranade" w:eastAsia="Ranade" w:hAnsi="Ranade"/>
          <w:b/>
          <w:bCs/>
          <w:color w:val="0B0710"/>
          <w:sz w:val="24"/>
          <w:szCs w:val="24"/>
        </w:rPr>
        <w:t xml:space="preserve">Vertragsparteien</w:t>
      </w:r>
    </w:p>
    <w:p>
      <w:pPr>
        <w:spacing w:after="120" w:line="300"/>
        <w:jc w:val="both"/>
      </w:pPr>
      <w:r>
        <w:rPr>
          <w:rFonts w:ascii="Satoshi" w:cs="Satoshi" w:eastAsia="Satoshi" w:hAnsi="Satoshi"/>
          <w:color w:val="221A2C"/>
          <w:sz w:val="21"/>
          <w:szCs w:val="21"/>
        </w:rPr>
        <w:t xml:space="preserve">Diese Vereinbarung über die Verarbeitung personenbezogener Daten im Auftrag (nachfolgend „Vereinbarung“ oder „AVV“) wird geschlossen zwischen dem Auftraggeber, dessen Angaben im Abschnitt “Contracting Parties” der englischen Fassung eingetragen werden,</w:t>
      </w:r>
    </w:p>
    <w:p>
      <w:pPr>
        <w:spacing w:after="120" w:line="300"/>
        <w:jc w:val="both"/>
      </w:pPr>
      <w:r>
        <w:rPr>
          <w:rFonts w:ascii="Satoshi" w:cs="Satoshi" w:eastAsia="Satoshi" w:hAnsi="Satoshi"/>
          <w:color w:val="221A2C"/>
          <w:sz w:val="21"/>
          <w:szCs w:val="21"/>
        </w:rPr>
        <w:t xml:space="preserve">nachfolgend der </w:t>
      </w:r>
      <w:r>
        <w:rPr>
          <w:rFonts w:ascii="Satoshi" w:cs="Satoshi" w:eastAsia="Satoshi" w:hAnsi="Satoshi"/>
          <w:b/>
          <w:bCs/>
          <w:color w:val="221A2C"/>
          <w:sz w:val="21"/>
          <w:szCs w:val="21"/>
        </w:rPr>
        <w:t xml:space="preserve">„Auftraggeber“</w:t>
      </w:r>
      <w:r>
        <w:rPr>
          <w:rFonts w:ascii="Satoshi" w:cs="Satoshi" w:eastAsia="Satoshi" w:hAnsi="Satoshi"/>
          <w:color w:val="221A2C"/>
          <w:sz w:val="21"/>
          <w:szCs w:val="21"/>
        </w:rPr>
        <w:t xml:space="preserve"> (Verantwortlicher im Sinne des Art. 4 Nr. 7 DSGVO),</w:t>
      </w:r>
    </w:p>
    <w:p>
      <w:pPr>
        <w:spacing w:after="60" w:line="300"/>
        <w:jc w:val="both"/>
      </w:pPr>
      <w:r>
        <w:rPr>
          <w:rFonts w:ascii="Satoshi" w:cs="Satoshi" w:eastAsia="Satoshi" w:hAnsi="Satoshi"/>
          <w:color w:val="221A2C"/>
          <w:sz w:val="21"/>
          <w:szCs w:val="21"/>
        </w:rPr>
        <w:t xml:space="preserve">und der</w:t>
      </w:r>
    </w:p>
    <w:p>
      <w:pPr>
        <w:spacing w:after="60" w:line="300"/>
      </w:pPr>
      <w:r>
        <w:rPr>
          <w:rFonts w:ascii="Satoshi" w:cs="Satoshi" w:eastAsia="Satoshi" w:hAnsi="Satoshi"/>
          <w:b/>
          <w:bCs/>
          <w:color w:val="221A2C"/>
          <w:sz w:val="21"/>
          <w:szCs w:val="21"/>
        </w:rPr>
        <w:t xml:space="preserve">Best Life Agency LLC</w:t>
      </w:r>
      <w:r>
        <w:rPr>
          <w:rFonts w:ascii="Satoshi" w:cs="Satoshi" w:eastAsia="Satoshi" w:hAnsi="Satoshi"/>
          <w:color w:val="221A2C"/>
          <w:sz w:val="21"/>
          <w:szCs w:val="21"/>
        </w:rPr>
        <w:t xml:space="preserve">, 30 N Gould St, Ste R, Sheridan, WY 82801, USA,</w:t>
      </w:r>
    </w:p>
    <w:p>
      <w:pPr>
        <w:spacing w:after="120" w:line="300"/>
        <w:jc w:val="both"/>
      </w:pPr>
      <w:r>
        <w:rPr>
          <w:rFonts w:ascii="Satoshi" w:cs="Satoshi" w:eastAsia="Satoshi" w:hAnsi="Satoshi"/>
          <w:color w:val="221A2C"/>
          <w:sz w:val="21"/>
          <w:szCs w:val="21"/>
        </w:rPr>
        <w:t xml:space="preserve">registriert im US-Bundesstaat Wyoming (Filing ID 2024-001491464), vertreten durch Kenneth Beller (Managing Member), E-Mail: info@bestlifeagency.com,</w:t>
      </w:r>
    </w:p>
    <w:p>
      <w:pPr>
        <w:spacing w:after="120" w:line="300"/>
        <w:jc w:val="both"/>
      </w:pPr>
      <w:r>
        <w:rPr>
          <w:rFonts w:ascii="Satoshi" w:cs="Satoshi" w:eastAsia="Satoshi" w:hAnsi="Satoshi"/>
          <w:color w:val="221A2C"/>
          <w:sz w:val="21"/>
          <w:szCs w:val="21"/>
        </w:rPr>
        <w:t xml:space="preserve">nachfolgend der </w:t>
      </w:r>
      <w:r>
        <w:rPr>
          <w:rFonts w:ascii="Satoshi" w:cs="Satoshi" w:eastAsia="Satoshi" w:hAnsi="Satoshi"/>
          <w:b/>
          <w:bCs/>
          <w:color w:val="221A2C"/>
          <w:sz w:val="21"/>
          <w:szCs w:val="21"/>
        </w:rPr>
        <w:t xml:space="preserve">„Auftragnehmer“</w:t>
      </w:r>
      <w:r>
        <w:rPr>
          <w:rFonts w:ascii="Satoshi" w:cs="Satoshi" w:eastAsia="Satoshi" w:hAnsi="Satoshi"/>
          <w:color w:val="221A2C"/>
          <w:sz w:val="21"/>
          <w:szCs w:val="21"/>
        </w:rPr>
        <w:t xml:space="preserve"> (Auftragsverarbeiter im Sinne des Art. 4 Nr. 8 DSGVO); Auftraggeber und Auftragnehmer gemeinsam die „Parteien“.</w:t>
      </w:r>
    </w:p>
    <w:p>
      <w:pPr>
        <w:keepNext/>
        <w:spacing w:after="140" w:before="320"/>
      </w:pPr>
      <w:r>
        <w:rPr>
          <w:rFonts w:ascii="Ranade" w:cs="Ranade" w:eastAsia="Ranade" w:hAnsi="Ranade"/>
          <w:b/>
          <w:bCs/>
          <w:color w:val="0B0710"/>
          <w:sz w:val="24"/>
          <w:szCs w:val="24"/>
        </w:rPr>
        <w:t xml:space="preserve">Präambel</w:t>
      </w:r>
    </w:p>
    <w:p>
      <w:pPr>
        <w:spacing w:after="120" w:line="300"/>
        <w:jc w:val="both"/>
      </w:pPr>
      <w:r>
        <w:rPr>
          <w:rFonts w:ascii="Satoshi" w:cs="Satoshi" w:eastAsia="Satoshi" w:hAnsi="Satoshi"/>
          <w:color w:val="221A2C"/>
          <w:sz w:val="21"/>
          <w:szCs w:val="21"/>
        </w:rPr>
        <w:t xml:space="preserve">Der Auftragnehmer erbringt für den Auftraggeber Leistungen in den Bereichen Marketing, Content-Produktion und Vertriebsunterstützung auf Grundlage eines oder mehrerer zwischen den Parteien geschlossener Verträge, Angebote oder Bestellungen (nachfolgend zusammen der „Hauptvertrag“). Dabei verarbeitet der Auftragnehmer personenbezogene Daten, für die der Auftraggeber Verantwortlicher ist. Diese Vereinbarung konkretisiert die datenschutzrechtlichen Rechte und Pflichten der Parteien nach Art. 28 DSGVO.</w:t>
      </w:r>
    </w:p>
    <w:p>
      <w:pPr>
        <w:keepNext/>
        <w:spacing w:after="140" w:before="320"/>
      </w:pPr>
      <w:r>
        <w:rPr>
          <w:rFonts w:ascii="Ranade" w:cs="Ranade" w:eastAsia="Ranade" w:hAnsi="Ranade"/>
          <w:b/>
          <w:bCs/>
          <w:color w:val="F24DA0"/>
          <w:sz w:val="24"/>
          <w:szCs w:val="24"/>
        </w:rPr>
        <w:t xml:space="preserve">§ 1  </w:t>
      </w:r>
      <w:r>
        <w:rPr>
          <w:rFonts w:ascii="Ranade" w:cs="Ranade" w:eastAsia="Ranade" w:hAnsi="Ranade"/>
          <w:b/>
          <w:bCs/>
          <w:color w:val="0B0710"/>
          <w:sz w:val="24"/>
          <w:szCs w:val="24"/>
        </w:rPr>
        <w:t xml:space="preserve">Gegenstand und Dauer der Verarbeitung</w:t>
      </w:r>
    </w:p>
    <w:p>
      <w:pPr>
        <w:spacing w:after="120" w:line="300"/>
        <w:jc w:val="both"/>
      </w:pPr>
      <w:r>
        <w:rPr>
          <w:rFonts w:ascii="Satoshi" w:cs="Satoshi" w:eastAsia="Satoshi" w:hAnsi="Satoshi"/>
          <w:color w:val="221A2C"/>
          <w:sz w:val="21"/>
          <w:szCs w:val="21"/>
        </w:rPr>
        <w:t xml:space="preserve">(1) Der Auftragnehmer verarbeitet personenbezogene Daten im Auftrag und nach Weisung des Auftraggebers. Gegenstand des Auftrags sind die im Hauptvertrag vereinbarten Leistungen; sie sind in Anlage 1 (Annex 1) näher beschrieben.</w:t>
      </w:r>
    </w:p>
    <w:p>
      <w:pPr>
        <w:spacing w:after="120" w:line="300"/>
        <w:jc w:val="both"/>
      </w:pPr>
      <w:r>
        <w:rPr>
          <w:rFonts w:ascii="Satoshi" w:cs="Satoshi" w:eastAsia="Satoshi" w:hAnsi="Satoshi"/>
          <w:color w:val="221A2C"/>
          <w:sz w:val="21"/>
          <w:szCs w:val="21"/>
        </w:rPr>
        <w:t xml:space="preserve">(2) Die Dauer dieser Vereinbarung entspricht der Laufzeit des Hauptvertrags. Sie endet mit dessen Beendigung, jedoch nicht vor der vollständigen Löschung oder Rückgabe aller personenbezogenen Daten nach § 12.</w:t>
      </w:r>
    </w:p>
    <w:p>
      <w:pPr>
        <w:keepNext/>
        <w:spacing w:after="140" w:before="320"/>
      </w:pPr>
      <w:r>
        <w:rPr>
          <w:rFonts w:ascii="Ranade" w:cs="Ranade" w:eastAsia="Ranade" w:hAnsi="Ranade"/>
          <w:b/>
          <w:bCs/>
          <w:color w:val="F24DA0"/>
          <w:sz w:val="24"/>
          <w:szCs w:val="24"/>
        </w:rPr>
        <w:t xml:space="preserve">§ 2  </w:t>
      </w:r>
      <w:r>
        <w:rPr>
          <w:rFonts w:ascii="Ranade" w:cs="Ranade" w:eastAsia="Ranade" w:hAnsi="Ranade"/>
          <w:b/>
          <w:bCs/>
          <w:color w:val="0B0710"/>
          <w:sz w:val="24"/>
          <w:szCs w:val="24"/>
        </w:rPr>
        <w:t xml:space="preserve">Art und Zweck der Verarbeitung, Datenarten, betroffene Personen</w:t>
      </w:r>
    </w:p>
    <w:p>
      <w:pPr>
        <w:spacing w:after="120" w:line="300"/>
        <w:jc w:val="both"/>
      </w:pPr>
      <w:r>
        <w:rPr>
          <w:rFonts w:ascii="Satoshi" w:cs="Satoshi" w:eastAsia="Satoshi" w:hAnsi="Satoshi"/>
          <w:color w:val="221A2C"/>
          <w:sz w:val="21"/>
          <w:szCs w:val="21"/>
        </w:rPr>
        <w:t xml:space="preserve">(1) Art und Zweck der Verarbeitung, die Kategorien personenbezogener Daten sowie die Kategorien betroffener Personen ergeben sich aus Anlage 1.</w:t>
      </w:r>
    </w:p>
    <w:p>
      <w:pPr>
        <w:spacing w:after="120" w:line="300"/>
        <w:jc w:val="both"/>
      </w:pPr>
      <w:r>
        <w:rPr>
          <w:rFonts w:ascii="Satoshi" w:cs="Satoshi" w:eastAsia="Satoshi" w:hAnsi="Satoshi"/>
          <w:color w:val="221A2C"/>
          <w:sz w:val="21"/>
          <w:szCs w:val="21"/>
        </w:rPr>
        <w:t xml:space="preserve">(2) Besondere Kategorien personenbezogener Daten (Art. 9 DSGVO) sind nur Gegenstand der Verarbeitung, soweit dies in Anlage 1 ausdrücklich vereinbart ist.</w:t>
      </w:r>
    </w:p>
    <w:p>
      <w:pPr>
        <w:spacing w:after="120" w:line="300"/>
        <w:jc w:val="both"/>
      </w:pPr>
      <w:r>
        <w:rPr>
          <w:rFonts w:ascii="Satoshi" w:cs="Satoshi" w:eastAsia="Satoshi" w:hAnsi="Satoshi"/>
          <w:color w:val="221A2C"/>
          <w:sz w:val="21"/>
          <w:szCs w:val="21"/>
        </w:rPr>
        <w:t xml:space="preserve">(3) Die Verarbeitung findet in Mitgliedstaaten der EU bzw. des EWR sowie in den USA statt; Einzelheiten regelt § 7.</w:t>
      </w:r>
    </w:p>
    <w:p>
      <w:pPr>
        <w:keepNext/>
        <w:spacing w:after="140" w:before="320"/>
      </w:pPr>
      <w:r>
        <w:rPr>
          <w:rFonts w:ascii="Ranade" w:cs="Ranade" w:eastAsia="Ranade" w:hAnsi="Ranade"/>
          <w:b/>
          <w:bCs/>
          <w:color w:val="F24DA0"/>
          <w:sz w:val="24"/>
          <w:szCs w:val="24"/>
        </w:rPr>
        <w:t xml:space="preserve">§ 3  </w:t>
      </w:r>
      <w:r>
        <w:rPr>
          <w:rFonts w:ascii="Ranade" w:cs="Ranade" w:eastAsia="Ranade" w:hAnsi="Ranade"/>
          <w:b/>
          <w:bCs/>
          <w:color w:val="0B0710"/>
          <w:sz w:val="24"/>
          <w:szCs w:val="24"/>
        </w:rPr>
        <w:t xml:space="preserve">Weisungsrecht des Auftraggebers</w:t>
      </w:r>
    </w:p>
    <w:p>
      <w:pPr>
        <w:spacing w:after="120" w:line="300"/>
        <w:jc w:val="both"/>
      </w:pPr>
      <w:r>
        <w:rPr>
          <w:rFonts w:ascii="Satoshi" w:cs="Satoshi" w:eastAsia="Satoshi" w:hAnsi="Satoshi"/>
          <w:color w:val="221A2C"/>
          <w:sz w:val="21"/>
          <w:szCs w:val="21"/>
        </w:rPr>
        <w:t xml:space="preserve">(1) Der Auftragnehmer verarbeitet personenbezogene Daten ausschließlich auf dokumentierte Weisung des Auftraggebers, sofern er nicht durch Rechtsvorschriften, denen er unterliegt, zur Verarbeitung verpflichtet ist. In einem solchen Fall teilt er dem Auftraggeber diese rechtlichen Anforderungen vor der Verarbeitung mit, sofern das betreffende Recht eine solche Mitteilung nicht wegen eines wichtigen öffentlichen Interesses verbietet. Der Hauptvertrag und diese Vereinbarung gelten als erste, allgemeine Weisung.</w:t>
      </w:r>
    </w:p>
    <w:p>
      <w:pPr>
        <w:spacing w:after="120" w:line="300"/>
        <w:jc w:val="both"/>
      </w:pPr>
      <w:r>
        <w:rPr>
          <w:rFonts w:ascii="Satoshi" w:cs="Satoshi" w:eastAsia="Satoshi" w:hAnsi="Satoshi"/>
          <w:color w:val="221A2C"/>
          <w:sz w:val="21"/>
          <w:szCs w:val="21"/>
        </w:rPr>
        <w:t xml:space="preserve">(2) Weisungen bedürfen mindestens der Textform (z. B. E-Mail). Mündlich erteilte Weisungen sind unverzüglich in Textform zu bestätigen.</w:t>
      </w:r>
    </w:p>
    <w:p>
      <w:pPr>
        <w:spacing w:after="120" w:line="300"/>
        <w:jc w:val="both"/>
      </w:pPr>
      <w:r>
        <w:rPr>
          <w:rFonts w:ascii="Satoshi" w:cs="Satoshi" w:eastAsia="Satoshi" w:hAnsi="Satoshi"/>
          <w:color w:val="221A2C"/>
          <w:sz w:val="21"/>
          <w:szCs w:val="21"/>
        </w:rPr>
        <w:t xml:space="preserve">(3) Hält der Auftragnehmer eine Weisung für datenschutzrechtlich unzulässig, informiert er den Auftraggeber unverzüglich. Er ist berechtigt, die Ausführung bis zur Bestätigung oder Änderung der Weisung auszusetzen.</w:t>
      </w:r>
    </w:p>
    <w:p>
      <w:pPr>
        <w:keepNext/>
        <w:spacing w:after="140" w:before="320"/>
      </w:pPr>
      <w:r>
        <w:rPr>
          <w:rFonts w:ascii="Ranade" w:cs="Ranade" w:eastAsia="Ranade" w:hAnsi="Ranade"/>
          <w:b/>
          <w:bCs/>
          <w:color w:val="F24DA0"/>
          <w:sz w:val="24"/>
          <w:szCs w:val="24"/>
        </w:rPr>
        <w:t xml:space="preserve">§ 4  </w:t>
      </w:r>
      <w:r>
        <w:rPr>
          <w:rFonts w:ascii="Ranade" w:cs="Ranade" w:eastAsia="Ranade" w:hAnsi="Ranade"/>
          <w:b/>
          <w:bCs/>
          <w:color w:val="0B0710"/>
          <w:sz w:val="24"/>
          <w:szCs w:val="24"/>
        </w:rPr>
        <w:t xml:space="preserve">Vertraulichkeit</w:t>
      </w:r>
    </w:p>
    <w:p>
      <w:pPr>
        <w:spacing w:after="120" w:line="300"/>
        <w:jc w:val="both"/>
      </w:pPr>
      <w:r>
        <w:rPr>
          <w:rFonts w:ascii="Satoshi" w:cs="Satoshi" w:eastAsia="Satoshi" w:hAnsi="Satoshi"/>
          <w:color w:val="221A2C"/>
          <w:sz w:val="21"/>
          <w:szCs w:val="21"/>
        </w:rPr>
        <w:t xml:space="preserve">(1) Der Auftragnehmer setzt für die Verarbeitung nur Personen ein, die zur Vertraulichkeit verpflichtet wurden oder einer angemessenen gesetzlichen Verschwiegenheitspflicht unterliegen (Art. 28 Abs. 3 Satz 2 lit. b DSGVO).</w:t>
      </w:r>
    </w:p>
    <w:p>
      <w:pPr>
        <w:spacing w:after="120" w:line="300"/>
        <w:jc w:val="both"/>
      </w:pPr>
      <w:r>
        <w:rPr>
          <w:rFonts w:ascii="Satoshi" w:cs="Satoshi" w:eastAsia="Satoshi" w:hAnsi="Satoshi"/>
          <w:color w:val="221A2C"/>
          <w:sz w:val="21"/>
          <w:szCs w:val="21"/>
        </w:rPr>
        <w:t xml:space="preserve">(2) Die Vertraulichkeitsverpflichtung besteht auch nach Beendigung des jeweiligen Beschäftigungs- oder Auftragsverhältnisses fort.</w:t>
      </w:r>
    </w:p>
    <w:p>
      <w:pPr>
        <w:keepNext/>
        <w:spacing w:after="140" w:before="320"/>
      </w:pPr>
      <w:r>
        <w:rPr>
          <w:rFonts w:ascii="Ranade" w:cs="Ranade" w:eastAsia="Ranade" w:hAnsi="Ranade"/>
          <w:b/>
          <w:bCs/>
          <w:color w:val="F24DA0"/>
          <w:sz w:val="24"/>
          <w:szCs w:val="24"/>
        </w:rPr>
        <w:t xml:space="preserve">§ 5  </w:t>
      </w:r>
      <w:r>
        <w:rPr>
          <w:rFonts w:ascii="Ranade" w:cs="Ranade" w:eastAsia="Ranade" w:hAnsi="Ranade"/>
          <w:b/>
          <w:bCs/>
          <w:color w:val="0B0710"/>
          <w:sz w:val="24"/>
          <w:szCs w:val="24"/>
        </w:rPr>
        <w:t xml:space="preserve">Technische und organisatorische Maßnahmen</w:t>
      </w:r>
    </w:p>
    <w:p>
      <w:pPr>
        <w:spacing w:after="120" w:line="300"/>
        <w:jc w:val="both"/>
      </w:pPr>
      <w:r>
        <w:rPr>
          <w:rFonts w:ascii="Satoshi" w:cs="Satoshi" w:eastAsia="Satoshi" w:hAnsi="Satoshi"/>
          <w:color w:val="221A2C"/>
          <w:sz w:val="21"/>
          <w:szCs w:val="21"/>
        </w:rPr>
        <w:t xml:space="preserve">(1) Der Auftragnehmer trifft die in Anlage 2 (Annex 2) beschriebenen technischen und organisatorischen Maßnahmen nach Art. 32 DSGVO und hält sie während der Laufzeit dieser Vereinbarung aufrecht.</w:t>
      </w:r>
    </w:p>
    <w:p>
      <w:pPr>
        <w:spacing w:after="120" w:line="300"/>
        <w:jc w:val="both"/>
      </w:pPr>
      <w:r>
        <w:rPr>
          <w:rFonts w:ascii="Satoshi" w:cs="Satoshi" w:eastAsia="Satoshi" w:hAnsi="Satoshi"/>
          <w:color w:val="221A2C"/>
          <w:sz w:val="21"/>
          <w:szCs w:val="21"/>
        </w:rPr>
        <w:t xml:space="preserve">(2) Die Maßnahmen unterliegen dem technischen Fortschritt. Der Auftragnehmer darf sie weiterentwickeln und durch gleichwertige oder bessere Maßnahmen ersetzen, solange das vereinbarte Schutzniveau nicht unterschritten wird. Wesentliche Änderungen werden dokumentiert.</w:t>
      </w:r>
    </w:p>
    <w:p>
      <w:pPr>
        <w:keepNext/>
        <w:spacing w:after="140" w:before="320"/>
      </w:pPr>
      <w:r>
        <w:rPr>
          <w:rFonts w:ascii="Ranade" w:cs="Ranade" w:eastAsia="Ranade" w:hAnsi="Ranade"/>
          <w:b/>
          <w:bCs/>
          <w:color w:val="F24DA0"/>
          <w:sz w:val="24"/>
          <w:szCs w:val="24"/>
        </w:rPr>
        <w:t xml:space="preserve">§ 6  </w:t>
      </w:r>
      <w:r>
        <w:rPr>
          <w:rFonts w:ascii="Ranade" w:cs="Ranade" w:eastAsia="Ranade" w:hAnsi="Ranade"/>
          <w:b/>
          <w:bCs/>
          <w:color w:val="0B0710"/>
          <w:sz w:val="24"/>
          <w:szCs w:val="24"/>
        </w:rPr>
        <w:t xml:space="preserve">Unterauftragsverhältnisse</w:t>
      </w:r>
    </w:p>
    <w:p>
      <w:pPr>
        <w:spacing w:after="120" w:line="300"/>
        <w:jc w:val="both"/>
      </w:pPr>
      <w:r>
        <w:rPr>
          <w:rFonts w:ascii="Satoshi" w:cs="Satoshi" w:eastAsia="Satoshi" w:hAnsi="Satoshi"/>
          <w:color w:val="221A2C"/>
          <w:sz w:val="21"/>
          <w:szCs w:val="21"/>
        </w:rPr>
        <w:t xml:space="preserve">(1) Der Auftraggeber erteilt dem Auftragnehmer die allgemeine Genehmigung, für die Verarbeitung Unterauftragsverarbeiter einzusetzen. Die bei Abschluss dieser Vereinbarung eingesetzten Unterauftragsverarbeiter sind in Anlage 3 (Annex 3) aufgeführt und gelten als genehmigt.</w:t>
      </w:r>
    </w:p>
    <w:p>
      <w:pPr>
        <w:spacing w:after="120" w:line="300"/>
        <w:jc w:val="both"/>
      </w:pPr>
      <w:r>
        <w:rPr>
          <w:rFonts w:ascii="Satoshi" w:cs="Satoshi" w:eastAsia="Satoshi" w:hAnsi="Satoshi"/>
          <w:color w:val="221A2C"/>
          <w:sz w:val="21"/>
          <w:szCs w:val="21"/>
        </w:rPr>
        <w:t xml:space="preserve">(2) Der Auftragnehmer informiert den Auftraggeber vorab in Textform über beabsichtigte Änderungen (Hinzuziehung oder Ersetzung von Unterauftragsverarbeitern). Der Auftraggeber kann einer Änderung aus wichtigen datenschutzrechtlichen Gründen innerhalb von 14 Tagen nach Zugang der Information widersprechen. Kommt keine einvernehmliche Lösung zustande, steht dem Auftraggeber ein Sonderkündigungsrecht für die von der Änderung betroffenen Leistungen zu.</w:t>
      </w:r>
    </w:p>
    <w:p>
      <w:pPr>
        <w:spacing w:after="120" w:line="300"/>
        <w:jc w:val="both"/>
      </w:pPr>
      <w:r>
        <w:rPr>
          <w:rFonts w:ascii="Satoshi" w:cs="Satoshi" w:eastAsia="Satoshi" w:hAnsi="Satoshi"/>
          <w:color w:val="221A2C"/>
          <w:sz w:val="21"/>
          <w:szCs w:val="21"/>
        </w:rPr>
        <w:t xml:space="preserve">(3) Der Auftragnehmer verpflichtet jeden Unterauftragsverarbeiter durch einen Vertrag nach Art. 28 Abs. 4 DSGVO auf im Wesentlichen dieselben Datenschutzpflichten, wie sie in dieser Vereinbarung festgelegt sind. Für Übermittlungen in Drittländer gilt § 7.</w:t>
      </w:r>
    </w:p>
    <w:p>
      <w:pPr>
        <w:spacing w:after="120" w:line="300"/>
        <w:jc w:val="both"/>
      </w:pPr>
      <w:r>
        <w:rPr>
          <w:rFonts w:ascii="Satoshi" w:cs="Satoshi" w:eastAsia="Satoshi" w:hAnsi="Satoshi"/>
          <w:color w:val="221A2C"/>
          <w:sz w:val="21"/>
          <w:szCs w:val="21"/>
        </w:rPr>
        <w:t xml:space="preserve">(4) Kommt ein Unterauftragsverarbeiter seinen Datenschutzpflichten nicht nach, haftet der Auftragnehmer gegenüber dem Auftraggeber für die Einhaltung dieser Pflichten.</w:t>
      </w:r>
    </w:p>
    <w:p>
      <w:pPr>
        <w:spacing w:after="120" w:line="300"/>
        <w:jc w:val="both"/>
      </w:pPr>
      <w:r>
        <w:rPr>
          <w:rFonts w:ascii="Satoshi" w:cs="Satoshi" w:eastAsia="Satoshi" w:hAnsi="Satoshi"/>
          <w:color w:val="221A2C"/>
          <w:sz w:val="21"/>
          <w:szCs w:val="21"/>
        </w:rPr>
        <w:t xml:space="preserve">(5) Keine Unterauftragsverhältnisse im Sinne dieser Regelung sind Nebenleistungen Dritter ohne inhaltlichen Datenzugriff (z. B. Telekommunikation, Post, Wartung) sowie Dienste, die der Auftraggeber selbst beauftragt hat oder in eigener Verantwortung nutzt (z. B. sein eigenes Meta-Werbekonto, seine Zahlungsdienstleister oder seine Kursplattform).</w:t>
      </w:r>
    </w:p>
    <w:p>
      <w:pPr>
        <w:keepNext/>
        <w:spacing w:after="140" w:before="320"/>
      </w:pPr>
      <w:r>
        <w:rPr>
          <w:rFonts w:ascii="Ranade" w:cs="Ranade" w:eastAsia="Ranade" w:hAnsi="Ranade"/>
          <w:b/>
          <w:bCs/>
          <w:color w:val="F24DA0"/>
          <w:sz w:val="24"/>
          <w:szCs w:val="24"/>
        </w:rPr>
        <w:t xml:space="preserve">§ 7  </w:t>
      </w:r>
      <w:r>
        <w:rPr>
          <w:rFonts w:ascii="Ranade" w:cs="Ranade" w:eastAsia="Ranade" w:hAnsi="Ranade"/>
          <w:b/>
          <w:bCs/>
          <w:color w:val="0B0710"/>
          <w:sz w:val="24"/>
          <w:szCs w:val="24"/>
        </w:rPr>
        <w:t xml:space="preserve">Verarbeitung in Drittländern, Standardvertragsklauseln</w:t>
      </w:r>
    </w:p>
    <w:p>
      <w:pPr>
        <w:spacing w:after="120" w:line="300"/>
        <w:jc w:val="both"/>
      </w:pPr>
      <w:r>
        <w:rPr>
          <w:rFonts w:ascii="Satoshi" w:cs="Satoshi" w:eastAsia="Satoshi" w:hAnsi="Satoshi"/>
          <w:color w:val="221A2C"/>
          <w:sz w:val="21"/>
          <w:szCs w:val="21"/>
        </w:rPr>
        <w:t xml:space="preserve">(1) Der Auftragnehmer ist eine Gesellschaft nach US-amerikanischem Recht. Die Verarbeitung durch den Auftragnehmer sowie durch einzelne Unterauftragsverarbeiter (Anlage 3) findet daher ganz oder teilweise in den USA und damit in einem Drittland im Sinne der Art. 44 ff. DSGVO statt.</w:t>
      </w:r>
    </w:p>
    <w:p>
      <w:pPr>
        <w:spacing w:after="120" w:line="300"/>
        <w:jc w:val="both"/>
      </w:pPr>
      <w:r>
        <w:rPr>
          <w:rFonts w:ascii="Satoshi" w:cs="Satoshi" w:eastAsia="Satoshi" w:hAnsi="Satoshi"/>
          <w:color w:val="221A2C"/>
          <w:sz w:val="21"/>
          <w:szCs w:val="21"/>
        </w:rPr>
        <w:t xml:space="preserve">(2) Für die Übermittlung personenbezogener Daten vom Auftraggeber an den Auftragnehmer vereinbaren die Parteien ergänzend die Standardvertragsklauseln der EU-Kommission vom 4. Juni 2021 (Durchführungsbeschluss (EU) 2021/914), Modul 2 (Übermittlung von Verantwortlichen an Auftragsverarbeiter), in der jeweils geltenden Fassung (nachfolgend „SCC“). Die SCC werden durch Verweis in diese Vereinbarung einbezogen und sind deren Bestandteil. Der vollständige Text ist abrufbar unter </w:t>
      </w:r>
      <w:hyperlink w:history="1" r:id="rIdoiuegg83kjtge-gjbm_p-">
        <w:r>
          <w:rPr>
            <w:rFonts w:ascii="Satoshi" w:cs="Satoshi" w:eastAsia="Satoshi" w:hAnsi="Satoshi"/>
            <w:color w:val="9A6BFF"/>
            <w:sz w:val="21"/>
            <w:szCs w:val="21"/>
            <w:u w:val="single"/>
          </w:rPr>
          <w:t xml:space="preserve">eur-lex.europa.eu/eli/dec_impl/2021/914/oj</w:t>
        </w:r>
      </w:hyperlink>
      <w:r>
        <w:rPr>
          <w:rFonts w:ascii="Satoshi" w:cs="Satoshi" w:eastAsia="Satoshi" w:hAnsi="Satoshi"/>
          <w:color w:val="221A2C"/>
          <w:sz w:val="21"/>
          <w:szCs w:val="21"/>
        </w:rPr>
        <w:t xml:space="preserve">; auf Anforderung stellt der Auftragnehmer den Text bereit.</w:t>
      </w:r>
    </w:p>
    <w:p>
      <w:pPr>
        <w:spacing w:after="120" w:line="300"/>
        <w:jc w:val="both"/>
      </w:pPr>
      <w:r>
        <w:rPr>
          <w:rFonts w:ascii="Satoshi" w:cs="Satoshi" w:eastAsia="Satoshi" w:hAnsi="Satoshi"/>
          <w:color w:val="221A2C"/>
          <w:sz w:val="21"/>
          <w:szCs w:val="21"/>
        </w:rPr>
        <w:t xml:space="preserve">(3) Für die SCC gelten folgende Festlegungen: Die optionale Klausel 7 der SCC (Kopplungsklausel) findet Anwendung. Für Klausel 9 der SCC gilt Option 2 (allgemeine schriftliche Genehmigung) mit einer Frist von 14 Tagen entsprechend § 6 Abs. 2. Die Option in Klausel 11 lit. a der SCC (unabhängige Streitbeilegungsstelle) findet keine Anwendung. Für Klausel 17 der SCC gilt Option 1 mit dem Recht der Bundesrepublik Deutschland. Zuständige Gerichte nach Klausel 18 lit. b der SCC sind die Gerichte der Bundesrepublik Deutschland.</w:t>
      </w:r>
    </w:p>
    <w:p>
      <w:pPr>
        <w:spacing w:after="120" w:line="300"/>
        <w:jc w:val="both"/>
      </w:pPr>
      <w:r>
        <w:rPr>
          <w:rFonts w:ascii="Satoshi" w:cs="Satoshi" w:eastAsia="Satoshi" w:hAnsi="Satoshi"/>
          <w:color w:val="221A2C"/>
          <w:sz w:val="21"/>
          <w:szCs w:val="21"/>
        </w:rPr>
        <w:t xml:space="preserve">(4) Die Anlagen 1 und 3 dieser Vereinbarung gelten zugleich als Anhang I der SCC (Liste der Parteien, Beschreibung der Übermittlung), Anlage 2 gilt als Anhang II der SCC (technische und organisatorische Maßnahmen).</w:t>
      </w:r>
    </w:p>
    <w:p>
      <w:pPr>
        <w:spacing w:after="120" w:line="300"/>
        <w:jc w:val="both"/>
      </w:pPr>
      <w:r>
        <w:rPr>
          <w:rFonts w:ascii="Satoshi" w:cs="Satoshi" w:eastAsia="Satoshi" w:hAnsi="Satoshi"/>
          <w:color w:val="221A2C"/>
          <w:sz w:val="21"/>
          <w:szCs w:val="21"/>
        </w:rPr>
        <w:t xml:space="preserve">(5) Bei Widersprüchen zwischen dieser Vereinbarung und den SCC gehen die SCC vor.</w:t>
      </w:r>
    </w:p>
    <w:p>
      <w:pPr>
        <w:spacing w:after="120" w:line="300"/>
        <w:jc w:val="both"/>
      </w:pPr>
      <w:r>
        <w:rPr>
          <w:rFonts w:ascii="Satoshi" w:cs="Satoshi" w:eastAsia="Satoshi" w:hAnsi="Satoshi"/>
          <w:color w:val="221A2C"/>
          <w:sz w:val="21"/>
          <w:szCs w:val="21"/>
        </w:rPr>
        <w:t xml:space="preserve">(6) In weitere Drittländer übermittelt der Auftragnehmer personenbezogene Daten nur, wenn die Voraussetzungen der Art. 44 ff. DSGVO erfüllt sind (z. B. Angemessenheitsbeschluss, Zertifizierung des Empfängers unter dem EU-US Data Privacy Framework oder Abschluss von Standardvertragsklauseln mit dem Unterauftragsverarbeiter).</w:t>
      </w:r>
    </w:p>
    <w:p>
      <w:pPr>
        <w:keepNext/>
        <w:spacing w:after="140" w:before="320"/>
      </w:pPr>
      <w:r>
        <w:rPr>
          <w:rFonts w:ascii="Ranade" w:cs="Ranade" w:eastAsia="Ranade" w:hAnsi="Ranade"/>
          <w:b/>
          <w:bCs/>
          <w:color w:val="F24DA0"/>
          <w:sz w:val="24"/>
          <w:szCs w:val="24"/>
        </w:rPr>
        <w:t xml:space="preserve">§ 8  </w:t>
      </w:r>
      <w:r>
        <w:rPr>
          <w:rFonts w:ascii="Ranade" w:cs="Ranade" w:eastAsia="Ranade" w:hAnsi="Ranade"/>
          <w:b/>
          <w:bCs/>
          <w:color w:val="0B0710"/>
          <w:sz w:val="24"/>
          <w:szCs w:val="24"/>
        </w:rPr>
        <w:t xml:space="preserve">Unterstützung des Auftraggebers, Rechte der betroffenen Personen</w:t>
      </w:r>
    </w:p>
    <w:p>
      <w:pPr>
        <w:spacing w:after="120" w:line="300"/>
        <w:jc w:val="both"/>
      </w:pPr>
      <w:r>
        <w:rPr>
          <w:rFonts w:ascii="Satoshi" w:cs="Satoshi" w:eastAsia="Satoshi" w:hAnsi="Satoshi"/>
          <w:color w:val="221A2C"/>
          <w:sz w:val="21"/>
          <w:szCs w:val="21"/>
        </w:rPr>
        <w:t xml:space="preserve">(1) Der Auftragnehmer unterstützt den Auftraggeber unter Berücksichtigung der Art der Verarbeitung mit geeigneten technischen und organisatorischen Maßnahmen dabei, Anträge betroffener Personen nach Kapitel III der DSGVO (u. a. Auskunft, Berichtigung, Löschung, Einschränkung der Verarbeitung, Datenübertragbarkeit, Widerspruch) fristgerecht zu beantworten.</w:t>
      </w:r>
    </w:p>
    <w:p>
      <w:pPr>
        <w:spacing w:after="120" w:line="300"/>
        <w:jc w:val="both"/>
      </w:pPr>
      <w:r>
        <w:rPr>
          <w:rFonts w:ascii="Satoshi" w:cs="Satoshi" w:eastAsia="Satoshi" w:hAnsi="Satoshi"/>
          <w:color w:val="221A2C"/>
          <w:sz w:val="21"/>
          <w:szCs w:val="21"/>
        </w:rPr>
        <w:t xml:space="preserve">(2) Wendet sich eine betroffene Person unmittelbar an den Auftragnehmer, leitet er das Ersuchen unverzüglich an den Auftraggeber weiter und beantwortet es nicht selbst, es sei denn, der Auftraggeber weist ihn dazu an.</w:t>
      </w:r>
    </w:p>
    <w:p>
      <w:pPr>
        <w:spacing w:after="120" w:line="300"/>
        <w:jc w:val="both"/>
      </w:pPr>
      <w:r>
        <w:rPr>
          <w:rFonts w:ascii="Satoshi" w:cs="Satoshi" w:eastAsia="Satoshi" w:hAnsi="Satoshi"/>
          <w:color w:val="221A2C"/>
          <w:sz w:val="21"/>
          <w:szCs w:val="21"/>
        </w:rPr>
        <w:t xml:space="preserve">(3) Auskünfte an Dritte oder an betroffene Personen erteilt der Auftragnehmer nur nach vorheriger Weisung des Auftraggebers, soweit keine gesetzliche Pflicht zur Auskunft besteht.</w:t>
      </w:r>
    </w:p>
    <w:p>
      <w:pPr>
        <w:keepNext/>
        <w:spacing w:after="140" w:before="320"/>
      </w:pPr>
      <w:r>
        <w:rPr>
          <w:rFonts w:ascii="Ranade" w:cs="Ranade" w:eastAsia="Ranade" w:hAnsi="Ranade"/>
          <w:b/>
          <w:bCs/>
          <w:color w:val="F24DA0"/>
          <w:sz w:val="24"/>
          <w:szCs w:val="24"/>
        </w:rPr>
        <w:t xml:space="preserve">§ 9  </w:t>
      </w:r>
      <w:r>
        <w:rPr>
          <w:rFonts w:ascii="Ranade" w:cs="Ranade" w:eastAsia="Ranade" w:hAnsi="Ranade"/>
          <w:b/>
          <w:bCs/>
          <w:color w:val="0B0710"/>
          <w:sz w:val="24"/>
          <w:szCs w:val="24"/>
        </w:rPr>
        <w:t xml:space="preserve">Meldung von Verletzungen des Schutzes personenbezogener Daten</w:t>
      </w:r>
    </w:p>
    <w:p>
      <w:pPr>
        <w:spacing w:after="120" w:line="300"/>
        <w:jc w:val="both"/>
      </w:pPr>
      <w:r>
        <w:rPr>
          <w:rFonts w:ascii="Satoshi" w:cs="Satoshi" w:eastAsia="Satoshi" w:hAnsi="Satoshi"/>
          <w:color w:val="221A2C"/>
          <w:sz w:val="21"/>
          <w:szCs w:val="21"/>
        </w:rPr>
        <w:t xml:space="preserve">(1) Der Auftragnehmer meldet dem Auftraggeber jede Verletzung des Schutzes personenbezogener Daten, die den Auftrag betrifft, unverzüglich nach Bekanntwerden, spätestens innerhalb von 48 Stunden. Die Meldung enthält, soweit bereits bekannt, die Angaben nach Art. 33 Abs. 3 DSGVO (Art der Verletzung, Kategorien und ungefähre Zahl der betroffenen Personen und Datensätze, wahrscheinliche Folgen sowie ergriffene und vorgeschlagene Abhilfemaßnahmen).</w:t>
      </w:r>
    </w:p>
    <w:p>
      <w:pPr>
        <w:spacing w:after="120" w:line="300"/>
        <w:jc w:val="both"/>
      </w:pPr>
      <w:r>
        <w:rPr>
          <w:rFonts w:ascii="Satoshi" w:cs="Satoshi" w:eastAsia="Satoshi" w:hAnsi="Satoshi"/>
          <w:color w:val="221A2C"/>
          <w:sz w:val="21"/>
          <w:szCs w:val="21"/>
        </w:rPr>
        <w:t xml:space="preserve">(2) Der Auftragnehmer unterstützt den Auftraggeber bei dessen Melde- und Benachrichtigungspflichten nach Art. 33 und 34 DSGVO, dokumentiert den Vorfall einschließlich der getroffenen Maßnahmen und stellt dem Auftraggeber die Dokumentation auf Anforderung zur Verfügung.</w:t>
      </w:r>
    </w:p>
    <w:p>
      <w:pPr>
        <w:keepNext/>
        <w:spacing w:after="140" w:before="320"/>
      </w:pPr>
      <w:r>
        <w:rPr>
          <w:rFonts w:ascii="Ranade" w:cs="Ranade" w:eastAsia="Ranade" w:hAnsi="Ranade"/>
          <w:b/>
          <w:bCs/>
          <w:color w:val="F24DA0"/>
          <w:sz w:val="24"/>
          <w:szCs w:val="24"/>
        </w:rPr>
        <w:t xml:space="preserve">§ 10  </w:t>
      </w:r>
      <w:r>
        <w:rPr>
          <w:rFonts w:ascii="Ranade" w:cs="Ranade" w:eastAsia="Ranade" w:hAnsi="Ranade"/>
          <w:b/>
          <w:bCs/>
          <w:color w:val="0B0710"/>
          <w:sz w:val="24"/>
          <w:szCs w:val="24"/>
        </w:rPr>
        <w:t xml:space="preserve">Datenschutz-Folgenabschätzung und vorherige Konsultation</w:t>
      </w:r>
    </w:p>
    <w:p>
      <w:pPr>
        <w:spacing w:after="120" w:line="300"/>
        <w:jc w:val="both"/>
      </w:pPr>
      <w:r>
        <w:rPr>
          <w:rFonts w:ascii="Satoshi" w:cs="Satoshi" w:eastAsia="Satoshi" w:hAnsi="Satoshi"/>
          <w:color w:val="221A2C"/>
          <w:sz w:val="21"/>
          <w:szCs w:val="21"/>
        </w:rPr>
        <w:t xml:space="preserve">Der Auftragnehmer unterstützt den Auftraggeber im erforderlichen Umfang bei Datenschutz-Folgenabschätzungen (Art. 35 DSGVO) und bei der vorherigen Konsultation der Aufsichtsbehörde (Art. 36 DSGVO), soweit die Verarbeitung im Auftrag betroffen ist.</w:t>
      </w:r>
    </w:p>
    <w:p>
      <w:pPr>
        <w:keepNext/>
        <w:spacing w:after="140" w:before="320"/>
      </w:pPr>
      <w:r>
        <w:rPr>
          <w:rFonts w:ascii="Ranade" w:cs="Ranade" w:eastAsia="Ranade" w:hAnsi="Ranade"/>
          <w:b/>
          <w:bCs/>
          <w:color w:val="F24DA0"/>
          <w:sz w:val="24"/>
          <w:szCs w:val="24"/>
        </w:rPr>
        <w:t xml:space="preserve">§ 11  </w:t>
      </w:r>
      <w:r>
        <w:rPr>
          <w:rFonts w:ascii="Ranade" w:cs="Ranade" w:eastAsia="Ranade" w:hAnsi="Ranade"/>
          <w:b/>
          <w:bCs/>
          <w:color w:val="0B0710"/>
          <w:sz w:val="24"/>
          <w:szCs w:val="24"/>
        </w:rPr>
        <w:t xml:space="preserve">Nachweise und Kontrollrechte</w:t>
      </w:r>
    </w:p>
    <w:p>
      <w:pPr>
        <w:spacing w:after="120" w:line="300"/>
        <w:jc w:val="both"/>
      </w:pPr>
      <w:r>
        <w:rPr>
          <w:rFonts w:ascii="Satoshi" w:cs="Satoshi" w:eastAsia="Satoshi" w:hAnsi="Satoshi"/>
          <w:color w:val="221A2C"/>
          <w:sz w:val="21"/>
          <w:szCs w:val="21"/>
        </w:rPr>
        <w:t xml:space="preserve">(1) Der Auftragnehmer stellt dem Auftraggeber alle erforderlichen Informationen zum Nachweis der Einhaltung der Pflichten nach Art. 28 DSGVO zur Verfügung. Der Nachweis kann insbesondere durch Selbstauskünfte, aktuelle Bescheinigungen, Berichte oder Zertifizierungen erbracht werden.</w:t>
      </w:r>
    </w:p>
    <w:p>
      <w:pPr>
        <w:spacing w:after="120" w:line="300"/>
        <w:jc w:val="both"/>
      </w:pPr>
      <w:r>
        <w:rPr>
          <w:rFonts w:ascii="Satoshi" w:cs="Satoshi" w:eastAsia="Satoshi" w:hAnsi="Satoshi"/>
          <w:color w:val="221A2C"/>
          <w:sz w:val="21"/>
          <w:szCs w:val="21"/>
        </w:rPr>
        <w:t xml:space="preserve">(2) Der Auftraggeber ist berechtigt, die Einhaltung dieser Vereinbarung selbst oder durch einen zur Verschwiegenheit verpflichteten Prüfer zu kontrollieren. Kontrollen erfolgen nach vorheriger Ankündigung mit angemessener Frist (in der Regel 14 Tage), zu üblichen Geschäftszeiten, ohne den Geschäftsbetrieb erheblich zu stören und in der Regel höchstens einmal pro Kalenderjahr. Anlassbezogene Kontrollen, etwa nach einem Vorfall nach § 9, bleiben unberührt. Da der Auftragnehmer vollständig digital arbeitet, können Kontrollen auch per Videokonferenz und durch Einsicht in die relevanten Systeme erfolgen.</w:t>
      </w:r>
    </w:p>
    <w:p>
      <w:pPr>
        <w:spacing w:after="120" w:line="300"/>
        <w:jc w:val="both"/>
      </w:pPr>
      <w:r>
        <w:rPr>
          <w:rFonts w:ascii="Satoshi" w:cs="Satoshi" w:eastAsia="Satoshi" w:hAnsi="Satoshi"/>
          <w:color w:val="221A2C"/>
          <w:sz w:val="21"/>
          <w:szCs w:val="21"/>
        </w:rPr>
        <w:t xml:space="preserve">(3) Jede Partei trägt die ihr durch die Kontrolle entstehenden Kosten selbst.</w:t>
      </w:r>
    </w:p>
    <w:p>
      <w:pPr>
        <w:keepNext/>
        <w:spacing w:after="140" w:before="320"/>
      </w:pPr>
      <w:r>
        <w:rPr>
          <w:rFonts w:ascii="Ranade" w:cs="Ranade" w:eastAsia="Ranade" w:hAnsi="Ranade"/>
          <w:b/>
          <w:bCs/>
          <w:color w:val="F24DA0"/>
          <w:sz w:val="24"/>
          <w:szCs w:val="24"/>
        </w:rPr>
        <w:t xml:space="preserve">§ 12  </w:t>
      </w:r>
      <w:r>
        <w:rPr>
          <w:rFonts w:ascii="Ranade" w:cs="Ranade" w:eastAsia="Ranade" w:hAnsi="Ranade"/>
          <w:b/>
          <w:bCs/>
          <w:color w:val="0B0710"/>
          <w:sz w:val="24"/>
          <w:szCs w:val="24"/>
        </w:rPr>
        <w:t xml:space="preserve">Löschung und Rückgabe personenbezogener Daten</w:t>
      </w:r>
    </w:p>
    <w:p>
      <w:pPr>
        <w:spacing w:after="120" w:line="300"/>
        <w:jc w:val="both"/>
      </w:pPr>
      <w:r>
        <w:rPr>
          <w:rFonts w:ascii="Satoshi" w:cs="Satoshi" w:eastAsia="Satoshi" w:hAnsi="Satoshi"/>
          <w:color w:val="221A2C"/>
          <w:sz w:val="21"/>
          <w:szCs w:val="21"/>
        </w:rPr>
        <w:t xml:space="preserve">(1) Nach Abschluss der Erbringung der Verarbeitungsleistungen löscht der Auftragnehmer nach Wahl des Auftraggebers alle personenbezogenen Daten oder gibt sie in einem gängigen, maschinenlesbaren Format zurück und löscht vorhandene Kopien, sofern nicht eine gesetzliche Pflicht zur weiteren Speicherung besteht. Trifft der Auftraggeber innerhalb von 30 Tagen nach Beendigung des Hauptvertrags keine Wahl, ist der Auftragnehmer zur Löschung berechtigt.</w:t>
      </w:r>
    </w:p>
    <w:p>
      <w:pPr>
        <w:spacing w:after="120" w:line="300"/>
        <w:jc w:val="both"/>
      </w:pPr>
      <w:r>
        <w:rPr>
          <w:rFonts w:ascii="Satoshi" w:cs="Satoshi" w:eastAsia="Satoshi" w:hAnsi="Satoshi"/>
          <w:color w:val="221A2C"/>
          <w:sz w:val="21"/>
          <w:szCs w:val="21"/>
        </w:rPr>
        <w:t xml:space="preserve">(2) Die Löschung wird dem Auftraggeber auf Anforderung in Textform bestätigt.</w:t>
      </w:r>
    </w:p>
    <w:p>
      <w:pPr>
        <w:spacing w:after="120" w:line="300"/>
        <w:jc w:val="both"/>
      </w:pPr>
      <w:r>
        <w:rPr>
          <w:rFonts w:ascii="Satoshi" w:cs="Satoshi" w:eastAsia="Satoshi" w:hAnsi="Satoshi"/>
          <w:color w:val="221A2C"/>
          <w:sz w:val="21"/>
          <w:szCs w:val="21"/>
        </w:rPr>
        <w:t xml:space="preserve">(3) Dokumentationen, die dem Nachweis der ordnungsgemäßen Datenverarbeitung dienen, darf der Auftragnehmer entsprechend den jeweiligen gesetzlichen Aufbewahrungsfristen über das Vertragsende hinaus aufbewahren.</w:t>
      </w:r>
    </w:p>
    <w:p>
      <w:pPr>
        <w:keepNext/>
        <w:spacing w:after="140" w:before="320"/>
      </w:pPr>
      <w:r>
        <w:rPr>
          <w:rFonts w:ascii="Ranade" w:cs="Ranade" w:eastAsia="Ranade" w:hAnsi="Ranade"/>
          <w:b/>
          <w:bCs/>
          <w:color w:val="F24DA0"/>
          <w:sz w:val="24"/>
          <w:szCs w:val="24"/>
        </w:rPr>
        <w:t xml:space="preserve">§ 13  </w:t>
      </w:r>
      <w:r>
        <w:rPr>
          <w:rFonts w:ascii="Ranade" w:cs="Ranade" w:eastAsia="Ranade" w:hAnsi="Ranade"/>
          <w:b/>
          <w:bCs/>
          <w:color w:val="0B0710"/>
          <w:sz w:val="24"/>
          <w:szCs w:val="24"/>
        </w:rPr>
        <w:t xml:space="preserve">Haftung</w:t>
      </w:r>
    </w:p>
    <w:p>
      <w:pPr>
        <w:spacing w:after="120" w:line="300"/>
        <w:jc w:val="both"/>
      </w:pPr>
      <w:r>
        <w:rPr>
          <w:rFonts w:ascii="Satoshi" w:cs="Satoshi" w:eastAsia="Satoshi" w:hAnsi="Satoshi"/>
          <w:color w:val="221A2C"/>
          <w:sz w:val="21"/>
          <w:szCs w:val="21"/>
        </w:rPr>
        <w:t xml:space="preserve">Für die Haftung der Parteien gilt Art. 82 DSGVO in Verbindung mit den Regelungen des Hauptvertrags. Eine im Hauptvertrag wirksam vereinbarte Haftungsbeschränkung gilt auch für diese Vereinbarung, soweit gesetzlich zulässig; die Haftung gegenüber betroffenen Personen nach Art. 82 DSGVO bleibt davon unberührt.</w:t>
      </w:r>
    </w:p>
    <w:p>
      <w:pPr>
        <w:keepNext/>
        <w:spacing w:after="140" w:before="320"/>
      </w:pPr>
      <w:r>
        <w:rPr>
          <w:rFonts w:ascii="Ranade" w:cs="Ranade" w:eastAsia="Ranade" w:hAnsi="Ranade"/>
          <w:b/>
          <w:bCs/>
          <w:color w:val="F24DA0"/>
          <w:sz w:val="24"/>
          <w:szCs w:val="24"/>
        </w:rPr>
        <w:t xml:space="preserve">§ 14  </w:t>
      </w:r>
      <w:r>
        <w:rPr>
          <w:rFonts w:ascii="Ranade" w:cs="Ranade" w:eastAsia="Ranade" w:hAnsi="Ranade"/>
          <w:b/>
          <w:bCs/>
          <w:color w:val="0B0710"/>
          <w:sz w:val="24"/>
          <w:szCs w:val="24"/>
        </w:rPr>
        <w:t xml:space="preserve">Laufzeit und Kündigung</w:t>
      </w:r>
    </w:p>
    <w:p>
      <w:pPr>
        <w:spacing w:after="120" w:line="300"/>
        <w:jc w:val="both"/>
      </w:pPr>
      <w:r>
        <w:rPr>
          <w:rFonts w:ascii="Satoshi" w:cs="Satoshi" w:eastAsia="Satoshi" w:hAnsi="Satoshi"/>
          <w:color w:val="221A2C"/>
          <w:sz w:val="21"/>
          <w:szCs w:val="21"/>
        </w:rPr>
        <w:t xml:space="preserve">(1) Diese Vereinbarung tritt mit Unterzeichnung in Kraft und gilt, solange der Auftragnehmer personenbezogene Daten im Auftrag des Auftraggebers verarbeitet.</w:t>
      </w:r>
    </w:p>
    <w:p>
      <w:pPr>
        <w:spacing w:after="120" w:line="300"/>
        <w:jc w:val="both"/>
      </w:pPr>
      <w:r>
        <w:rPr>
          <w:rFonts w:ascii="Satoshi" w:cs="Satoshi" w:eastAsia="Satoshi" w:hAnsi="Satoshi"/>
          <w:color w:val="221A2C"/>
          <w:sz w:val="21"/>
          <w:szCs w:val="21"/>
        </w:rPr>
        <w:t xml:space="preserve">(2) Die Beendigung des Hauptvertrags erfasst auch diese Vereinbarung. Eine isolierte Kündigung dieser Vereinbarung ist ausgeschlossen, solange der Auftragnehmer Leistungen erbringt, die eine Verarbeitung personenbezogener Daten erfordern.</w:t>
      </w:r>
    </w:p>
    <w:p>
      <w:pPr>
        <w:spacing w:after="120" w:line="300"/>
        <w:jc w:val="both"/>
      </w:pPr>
      <w:r>
        <w:rPr>
          <w:rFonts w:ascii="Satoshi" w:cs="Satoshi" w:eastAsia="Satoshi" w:hAnsi="Satoshi"/>
          <w:color w:val="221A2C"/>
          <w:sz w:val="21"/>
          <w:szCs w:val="21"/>
        </w:rPr>
        <w:t xml:space="preserve">(3) Das Recht zur außerordentlichen Kündigung aus wichtigem Grund bleibt unberührt.</w:t>
      </w:r>
    </w:p>
    <w:p>
      <w:pPr>
        <w:keepNext/>
        <w:spacing w:after="140" w:before="320"/>
      </w:pPr>
      <w:r>
        <w:rPr>
          <w:rFonts w:ascii="Ranade" w:cs="Ranade" w:eastAsia="Ranade" w:hAnsi="Ranade"/>
          <w:b/>
          <w:bCs/>
          <w:color w:val="F24DA0"/>
          <w:sz w:val="24"/>
          <w:szCs w:val="24"/>
        </w:rPr>
        <w:t xml:space="preserve">§ 15  </w:t>
      </w:r>
      <w:r>
        <w:rPr>
          <w:rFonts w:ascii="Ranade" w:cs="Ranade" w:eastAsia="Ranade" w:hAnsi="Ranade"/>
          <w:b/>
          <w:bCs/>
          <w:color w:val="0B0710"/>
          <w:sz w:val="24"/>
          <w:szCs w:val="24"/>
        </w:rPr>
        <w:t xml:space="preserve">Schlussbestimmungen</w:t>
      </w:r>
    </w:p>
    <w:p>
      <w:pPr>
        <w:spacing w:after="120" w:line="300"/>
        <w:jc w:val="both"/>
      </w:pPr>
      <w:r>
        <w:rPr>
          <w:rFonts w:ascii="Satoshi" w:cs="Satoshi" w:eastAsia="Satoshi" w:hAnsi="Satoshi"/>
          <w:color w:val="221A2C"/>
          <w:sz w:val="21"/>
          <w:szCs w:val="21"/>
        </w:rPr>
        <w:t xml:space="preserve">(1) Änderungen und Ergänzungen dieser Vereinbarung bedürfen der Textform. Dies gilt auch für die Änderung dieses Textformerfordernisses.</w:t>
      </w:r>
    </w:p>
    <w:p>
      <w:pPr>
        <w:spacing w:after="120" w:line="300"/>
        <w:jc w:val="both"/>
      </w:pPr>
      <w:r>
        <w:rPr>
          <w:rFonts w:ascii="Satoshi" w:cs="Satoshi" w:eastAsia="Satoshi" w:hAnsi="Satoshi"/>
          <w:color w:val="221A2C"/>
          <w:sz w:val="21"/>
          <w:szCs w:val="21"/>
        </w:rPr>
        <w:t xml:space="preserve">(2) Bei Widersprüchen zwischen dieser Vereinbarung und dem Hauptvertrag gehen in Fragen des Datenschutzes die Regelungen dieser Vereinbarung vor. § 7 Abs. 5 (Vorrang der SCC) bleibt unberührt.</w:t>
      </w:r>
    </w:p>
    <w:p>
      <w:pPr>
        <w:spacing w:after="120" w:line="300"/>
        <w:jc w:val="both"/>
      </w:pPr>
      <w:r>
        <w:rPr>
          <w:rFonts w:ascii="Satoshi" w:cs="Satoshi" w:eastAsia="Satoshi" w:hAnsi="Satoshi"/>
          <w:color w:val="221A2C"/>
          <w:sz w:val="21"/>
          <w:szCs w:val="21"/>
        </w:rPr>
        <w:t xml:space="preserve">(3) Diese Vereinbarung unterliegt dem Recht, das für den Hauptvertrag vereinbart ist; fehlt eine solche Rechtswahl, gilt deutsches Recht. Für die SCC gilt die Rechtswahl nach § 7 Abs. 3.</w:t>
      </w:r>
    </w:p>
    <w:p>
      <w:pPr>
        <w:spacing w:after="120" w:line="300"/>
        <w:jc w:val="both"/>
      </w:pPr>
      <w:r>
        <w:rPr>
          <w:rFonts w:ascii="Satoshi" w:cs="Satoshi" w:eastAsia="Satoshi" w:hAnsi="Satoshi"/>
          <w:color w:val="221A2C"/>
          <w:sz w:val="21"/>
          <w:szCs w:val="21"/>
        </w:rPr>
        <w:t xml:space="preserve">(4) Sollten einzelne Bestimmungen dieser Vereinbarung unwirksam sein oder werden, bleibt die Wirksamkeit der übrigen Bestimmungen unberührt. Anstelle der unwirksamen Bestimmung gilt eine wirksame Regelung als vereinbart, die dem wirtschaftlich Gewollten am nächsten kommt.</w:t>
      </w:r>
    </w:p>
    <w:p>
      <w:pPr>
        <w:spacing w:after="120" w:line="300"/>
        <w:jc w:val="both"/>
      </w:pPr>
      <w:r>
        <w:rPr>
          <w:rFonts w:ascii="Satoshi" w:cs="Satoshi" w:eastAsia="Satoshi" w:hAnsi="Satoshi"/>
          <w:color w:val="221A2C"/>
          <w:sz w:val="21"/>
          <w:szCs w:val="21"/>
        </w:rPr>
        <w:t xml:space="preserve">(5) Diese Vereinbarung kann elektronisch geschlossen werden, z. B. durch beidseitig ausgetauschte, eingescannte Unterschriften oder durch eine fortgeschrittene oder qualifizierte elektronische Signatur.</w:t>
      </w:r>
    </w:p>
    <w:p>
      <w:pPr>
        <w:spacing w:after="120" w:line="300"/>
        <w:jc w:val="both"/>
      </w:pPr>
      <w:r>
        <w:rPr>
          <w:rFonts w:ascii="Satoshi" w:cs="Satoshi" w:eastAsia="Satoshi" w:hAnsi="Satoshi"/>
          <w:color w:val="221A2C"/>
          <w:sz w:val="21"/>
          <w:szCs w:val="21"/>
        </w:rPr>
        <w:t xml:space="preserve">(6) Diese Vereinbarung wird in englischer Sprache geschlossen. Die in diesem Dokument enthaltene deutsche Fassung ist eine unverbindliche Lesefassung; bei Abweichungen geht die englische Fassung vor.</w:t>
      </w:r>
    </w:p>
    <w:p>
      <w:pPr>
        <w:spacing w:after="160"/>
      </w:pPr>
    </w:p>
    <w:p>
      <w:pPr>
        <w:spacing w:after="120" w:line="290"/>
      </w:pPr>
      <w:r>
        <w:rPr>
          <w:rFonts w:ascii="Satoshi" w:cs="Satoshi" w:eastAsia="Satoshi" w:hAnsi="Satoshi"/>
          <w:i/>
          <w:iCs/>
          <w:color w:val="6E6280"/>
          <w:sz w:val="19"/>
          <w:szCs w:val="19"/>
        </w:rPr>
        <w:t xml:space="preserve">Ort, Datum und Unterschriften: siehe englische Fassung, Abschnitt “Signatures” am Ende des Vertragsteils.</w:t>
      </w:r>
    </w:p>
    <w:p>
      <w:pPr>
        <w:pageBreakBefore/>
        <w:spacing w:after="200" w:before="0"/>
      </w:pPr>
      <w:r>
        <w:rPr>
          <w:rFonts w:ascii="Ranade" w:cs="Ranade" w:eastAsia="Ranade" w:hAnsi="Ranade"/>
          <w:b/>
          <w:bCs/>
          <w:color w:val="0B0710"/>
          <w:sz w:val="32"/>
          <w:szCs w:val="32"/>
        </w:rPr>
        <w:t xml:space="preserve">Anlage 1: Gegenstand der Verarbeitung (Lesefassung)</w:t>
      </w:r>
    </w:p>
    <w:p>
      <w:pPr>
        <w:keepNext/>
        <w:spacing w:after="100" w:before="260"/>
      </w:pPr>
      <w:r>
        <w:rPr>
          <w:rFonts w:ascii="Ranade" w:cs="Ranade" w:eastAsia="Ranade" w:hAnsi="Ranade"/>
          <w:b/>
          <w:bCs/>
          <w:color w:val="0B0710"/>
          <w:sz w:val="22"/>
          <w:szCs w:val="22"/>
        </w:rPr>
        <w:t xml:space="preserve">1. Leistungen des Auftragnehmers (Gegenstand des Auftrags)</w:t>
      </w:r>
    </w:p>
    <w:p>
      <w:pPr>
        <w:spacing w:after="120" w:line="300"/>
        <w:jc w:val="both"/>
      </w:pPr>
      <w:r>
        <w:rPr>
          <w:rFonts w:ascii="Satoshi" w:cs="Satoshi" w:eastAsia="Satoshi" w:hAnsi="Satoshi"/>
          <w:color w:val="221A2C"/>
          <w:sz w:val="21"/>
          <w:szCs w:val="21"/>
        </w:rPr>
        <w:t xml:space="preserve">Je nach Hauptvertrag umfasst der Auftrag eine oder mehrere der folgenden Leistungen:</w:t>
      </w:r>
    </w:p>
    <w:p>
      <w:pPr>
        <w:pStyle w:val="ListParagraph"/>
        <w:numPr>
          <w:ilvl w:val="0"/>
          <w:numId w:val="2"/>
        </w:numPr>
        <w:spacing w:after="60" w:line="290"/>
        <w:jc w:val="both"/>
      </w:pPr>
      <w:r>
        <w:rPr>
          <w:rFonts w:ascii="Satoshi" w:cs="Satoshi" w:eastAsia="Satoshi" w:hAnsi="Satoshi"/>
          <w:b/>
          <w:bCs/>
          <w:color w:val="221A2C"/>
          <w:sz w:val="21"/>
          <w:szCs w:val="21"/>
        </w:rPr>
        <w:t xml:space="preserve">Performance Marketing: </w:t>
      </w:r>
      <w:r>
        <w:rPr>
          <w:rFonts w:ascii="Satoshi" w:cs="Satoshi" w:eastAsia="Satoshi" w:hAnsi="Satoshi"/>
          <w:color w:val="221A2C"/>
          <w:sz w:val="21"/>
          <w:szCs w:val="21"/>
        </w:rPr>
        <w:t xml:space="preserve">Konzeption, Einrichtung und Verwaltung von Werbekampagnen (insbesondere Meta Ads) im Werbekonto des Auftraggebers, einschließlich Zielgruppen und Auswertung</w:t>
      </w:r>
    </w:p>
    <w:p>
      <w:pPr>
        <w:pStyle w:val="ListParagraph"/>
        <w:numPr>
          <w:ilvl w:val="0"/>
          <w:numId w:val="2"/>
        </w:numPr>
        <w:spacing w:after="60" w:line="290"/>
        <w:jc w:val="both"/>
      </w:pPr>
      <w:r>
        <w:rPr>
          <w:rFonts w:ascii="Satoshi" w:cs="Satoshi" w:eastAsia="Satoshi" w:hAnsi="Satoshi"/>
          <w:b/>
          <w:bCs/>
          <w:color w:val="221A2C"/>
          <w:sz w:val="21"/>
          <w:szCs w:val="21"/>
        </w:rPr>
        <w:t xml:space="preserve">Landingpages und Funnels: </w:t>
      </w:r>
      <w:r>
        <w:rPr>
          <w:rFonts w:ascii="Satoshi" w:cs="Satoshi" w:eastAsia="Satoshi" w:hAnsi="Satoshi"/>
          <w:color w:val="221A2C"/>
          <w:sz w:val="21"/>
          <w:szCs w:val="21"/>
        </w:rPr>
        <w:t xml:space="preserve">Erstellung, Einrichtung und Betrieb von Landingpages, Quiz-Funnels und Formularen zur Leadgewinnung</w:t>
      </w:r>
    </w:p>
    <w:p>
      <w:pPr>
        <w:pStyle w:val="ListParagraph"/>
        <w:numPr>
          <w:ilvl w:val="0"/>
          <w:numId w:val="2"/>
        </w:numPr>
        <w:spacing w:after="60" w:line="290"/>
        <w:jc w:val="both"/>
      </w:pPr>
      <w:r>
        <w:rPr>
          <w:rFonts w:ascii="Satoshi" w:cs="Satoshi" w:eastAsia="Satoshi" w:hAnsi="Satoshi"/>
          <w:b/>
          <w:bCs/>
          <w:color w:val="221A2C"/>
          <w:sz w:val="21"/>
          <w:szCs w:val="21"/>
        </w:rPr>
        <w:t xml:space="preserve">CRM und Automationen: </w:t>
      </w:r>
      <w:r>
        <w:rPr>
          <w:rFonts w:ascii="Satoshi" w:cs="Satoshi" w:eastAsia="Satoshi" w:hAnsi="Satoshi"/>
          <w:color w:val="221A2C"/>
          <w:sz w:val="21"/>
          <w:szCs w:val="21"/>
        </w:rPr>
        <w:t xml:space="preserve">Einrichtung und Pflege des CRM-Systems, Verwaltung von Kontakten, Pipelines, Automationen und Terminbuchungen</w:t>
      </w:r>
    </w:p>
    <w:p>
      <w:pPr>
        <w:pStyle w:val="ListParagraph"/>
        <w:numPr>
          <w:ilvl w:val="0"/>
          <w:numId w:val="2"/>
        </w:numPr>
        <w:spacing w:after="60" w:line="290"/>
        <w:jc w:val="both"/>
      </w:pPr>
      <w:r>
        <w:rPr>
          <w:rFonts w:ascii="Satoshi" w:cs="Satoshi" w:eastAsia="Satoshi" w:hAnsi="Satoshi"/>
          <w:b/>
          <w:bCs/>
          <w:color w:val="221A2C"/>
          <w:sz w:val="21"/>
          <w:szCs w:val="21"/>
        </w:rPr>
        <w:t xml:space="preserve">E-Mail-Marketing: </w:t>
      </w:r>
      <w:r>
        <w:rPr>
          <w:rFonts w:ascii="Satoshi" w:cs="Satoshi" w:eastAsia="Satoshi" w:hAnsi="Satoshi"/>
          <w:color w:val="221A2C"/>
          <w:sz w:val="21"/>
          <w:szCs w:val="21"/>
        </w:rPr>
        <w:t xml:space="preserve">Erstellung und Versand von E-Mail-Kampagnen und Newslettern an Empfänger des Auftraggebers</w:t>
      </w:r>
    </w:p>
    <w:p>
      <w:pPr>
        <w:pStyle w:val="ListParagraph"/>
        <w:numPr>
          <w:ilvl w:val="0"/>
          <w:numId w:val="2"/>
        </w:numPr>
        <w:spacing w:after="60" w:line="290"/>
        <w:jc w:val="both"/>
      </w:pPr>
      <w:r>
        <w:rPr>
          <w:rFonts w:ascii="Satoshi" w:cs="Satoshi" w:eastAsia="Satoshi" w:hAnsi="Satoshi"/>
          <w:b/>
          <w:bCs/>
          <w:color w:val="221A2C"/>
          <w:sz w:val="21"/>
          <w:szCs w:val="21"/>
        </w:rPr>
        <w:t xml:space="preserve">Lead-Management: </w:t>
      </w:r>
      <w:r>
        <w:rPr>
          <w:rFonts w:ascii="Satoshi" w:cs="Satoshi" w:eastAsia="Satoshi" w:hAnsi="Satoshi"/>
          <w:color w:val="221A2C"/>
          <w:sz w:val="21"/>
          <w:szCs w:val="21"/>
        </w:rPr>
        <w:t xml:space="preserve">Entgegennahme, Qualifizierung und Weiterleitung von Anfragen und Leads</w:t>
      </w:r>
    </w:p>
    <w:p>
      <w:pPr>
        <w:pStyle w:val="ListParagraph"/>
        <w:numPr>
          <w:ilvl w:val="0"/>
          <w:numId w:val="2"/>
        </w:numPr>
        <w:spacing w:after="60" w:line="290"/>
        <w:jc w:val="both"/>
      </w:pPr>
      <w:r>
        <w:rPr>
          <w:rFonts w:ascii="Satoshi" w:cs="Satoshi" w:eastAsia="Satoshi" w:hAnsi="Satoshi"/>
          <w:b/>
          <w:bCs/>
          <w:color w:val="221A2C"/>
          <w:sz w:val="21"/>
          <w:szCs w:val="21"/>
        </w:rPr>
        <w:t xml:space="preserve">Content-Produktion: </w:t>
      </w:r>
      <w:r>
        <w:rPr>
          <w:rFonts w:ascii="Satoshi" w:cs="Satoshi" w:eastAsia="Satoshi" w:hAnsi="Satoshi"/>
          <w:color w:val="221A2C"/>
          <w:sz w:val="21"/>
          <w:szCs w:val="21"/>
        </w:rPr>
        <w:t xml:space="preserve">Produktion von Videokursen, Videos und Podcasts einschließlich Aufnahme, Schnitt und Veröffentlichungsvorbereitung</w:t>
      </w:r>
    </w:p>
    <w:p>
      <w:pPr>
        <w:pStyle w:val="ListParagraph"/>
        <w:numPr>
          <w:ilvl w:val="0"/>
          <w:numId w:val="2"/>
        </w:numPr>
        <w:spacing w:after="60" w:line="290"/>
        <w:jc w:val="both"/>
      </w:pPr>
      <w:r>
        <w:rPr>
          <w:rFonts w:ascii="Satoshi" w:cs="Satoshi" w:eastAsia="Satoshi" w:hAnsi="Satoshi"/>
          <w:b/>
          <w:bCs/>
          <w:color w:val="221A2C"/>
          <w:sz w:val="21"/>
          <w:szCs w:val="21"/>
        </w:rPr>
        <w:t xml:space="preserve">Reporting: </w:t>
      </w:r>
      <w:r>
        <w:rPr>
          <w:rFonts w:ascii="Satoshi" w:cs="Satoshi" w:eastAsia="Satoshi" w:hAnsi="Satoshi"/>
          <w:color w:val="221A2C"/>
          <w:sz w:val="21"/>
          <w:szCs w:val="21"/>
        </w:rPr>
        <w:t xml:space="preserve">Auswertungen und Berichte zu Kampagnen, Funnels und Inhalten</w:t>
      </w:r>
    </w:p>
    <w:p>
      <w:pPr>
        <w:keepNext/>
        <w:spacing w:after="100" w:before="260"/>
      </w:pPr>
      <w:r>
        <w:rPr>
          <w:rFonts w:ascii="Ranade" w:cs="Ranade" w:eastAsia="Ranade" w:hAnsi="Ranade"/>
          <w:b/>
          <w:bCs/>
          <w:color w:val="0B0710"/>
          <w:sz w:val="22"/>
          <w:szCs w:val="22"/>
        </w:rPr>
        <w:t xml:space="preserve">2. Zweck der Verarbeitung</w:t>
      </w:r>
    </w:p>
    <w:p>
      <w:pPr>
        <w:spacing w:after="120" w:line="300"/>
        <w:jc w:val="both"/>
      </w:pPr>
      <w:r>
        <w:rPr>
          <w:rFonts w:ascii="Satoshi" w:cs="Satoshi" w:eastAsia="Satoshi" w:hAnsi="Satoshi"/>
          <w:color w:val="221A2C"/>
          <w:sz w:val="21"/>
          <w:szCs w:val="21"/>
        </w:rPr>
        <w:t xml:space="preserve">Vermarktung der Angebote des Auftraggebers, Gewinnung und Betreuung von Interessenten und Kunden des Auftraggebers, Kommunikation mit diesen Personen, Produktion von Inhalten sowie Auswertung und Reporting.</w:t>
      </w:r>
    </w:p>
    <w:p>
      <w:pPr>
        <w:keepNext/>
        <w:spacing w:after="100" w:before="260"/>
      </w:pPr>
      <w:r>
        <w:rPr>
          <w:rFonts w:ascii="Ranade" w:cs="Ranade" w:eastAsia="Ranade" w:hAnsi="Ranade"/>
          <w:b/>
          <w:bCs/>
          <w:color w:val="0B0710"/>
          <w:sz w:val="22"/>
          <w:szCs w:val="22"/>
        </w:rPr>
        <w:t xml:space="preserve">3. Art der Verarbeitung</w:t>
      </w:r>
    </w:p>
    <w:p>
      <w:pPr>
        <w:spacing w:after="120" w:line="300"/>
        <w:jc w:val="both"/>
      </w:pPr>
      <w:r>
        <w:rPr>
          <w:rFonts w:ascii="Satoshi" w:cs="Satoshi" w:eastAsia="Satoshi" w:hAnsi="Satoshi"/>
          <w:color w:val="221A2C"/>
          <w:sz w:val="21"/>
          <w:szCs w:val="21"/>
        </w:rPr>
        <w:t xml:space="preserve">Erheben, Erfassen, Organisation, Ordnen, Speicherung, Anpassung oder Veränderung, Auslesen, Abfragen, Verwendung, Offenlegung durch Übermittlung, Abgleich oder Verknüpfung, Einschränkung, Löschen und Vernichtung.</w:t>
      </w:r>
    </w:p>
    <w:p>
      <w:pPr>
        <w:keepNext/>
        <w:spacing w:after="100" w:before="260"/>
      </w:pPr>
      <w:r>
        <w:rPr>
          <w:rFonts w:ascii="Ranade" w:cs="Ranade" w:eastAsia="Ranade" w:hAnsi="Ranade"/>
          <w:b/>
          <w:bCs/>
          <w:color w:val="0B0710"/>
          <w:sz w:val="22"/>
          <w:szCs w:val="22"/>
        </w:rPr>
        <w:t xml:space="preserve">4. Kategorien betroffener Personen</w:t>
      </w:r>
    </w:p>
    <w:p>
      <w:pPr>
        <w:pStyle w:val="ListParagraph"/>
        <w:numPr>
          <w:ilvl w:val="0"/>
          <w:numId w:val="2"/>
        </w:numPr>
        <w:spacing w:after="60" w:line="290"/>
        <w:jc w:val="both"/>
      </w:pPr>
      <w:r>
        <w:rPr>
          <w:rFonts w:ascii="Satoshi" w:cs="Satoshi" w:eastAsia="Satoshi" w:hAnsi="Satoshi"/>
          <w:color w:val="221A2C"/>
          <w:sz w:val="21"/>
          <w:szCs w:val="21"/>
        </w:rPr>
        <w:t xml:space="preserve">Interessenten und Leads des Auftraggebers</w:t>
      </w:r>
    </w:p>
    <w:p>
      <w:pPr>
        <w:pStyle w:val="ListParagraph"/>
        <w:numPr>
          <w:ilvl w:val="0"/>
          <w:numId w:val="2"/>
        </w:numPr>
        <w:spacing w:after="60" w:line="290"/>
        <w:jc w:val="both"/>
      </w:pPr>
      <w:r>
        <w:rPr>
          <w:rFonts w:ascii="Satoshi" w:cs="Satoshi" w:eastAsia="Satoshi" w:hAnsi="Satoshi"/>
          <w:color w:val="221A2C"/>
          <w:sz w:val="21"/>
          <w:szCs w:val="21"/>
        </w:rPr>
        <w:t xml:space="preserve">Kunden und Vertragspartner des Auftraggebers</w:t>
      </w:r>
    </w:p>
    <w:p>
      <w:pPr>
        <w:pStyle w:val="ListParagraph"/>
        <w:numPr>
          <w:ilvl w:val="0"/>
          <w:numId w:val="2"/>
        </w:numPr>
        <w:spacing w:after="60" w:line="290"/>
        <w:jc w:val="both"/>
      </w:pPr>
      <w:r>
        <w:rPr>
          <w:rFonts w:ascii="Satoshi" w:cs="Satoshi" w:eastAsia="Satoshi" w:hAnsi="Satoshi"/>
          <w:color w:val="221A2C"/>
          <w:sz w:val="21"/>
          <w:szCs w:val="21"/>
        </w:rPr>
        <w:t xml:space="preserve">Empfänger von Newslettern und E-Mail-Kampagnen des Auftraggebers</w:t>
      </w:r>
    </w:p>
    <w:p>
      <w:pPr>
        <w:pStyle w:val="ListParagraph"/>
        <w:numPr>
          <w:ilvl w:val="0"/>
          <w:numId w:val="2"/>
        </w:numPr>
        <w:spacing w:after="60" w:line="290"/>
        <w:jc w:val="both"/>
      </w:pPr>
      <w:r>
        <w:rPr>
          <w:rFonts w:ascii="Satoshi" w:cs="Satoshi" w:eastAsia="Satoshi" w:hAnsi="Satoshi"/>
          <w:color w:val="221A2C"/>
          <w:sz w:val="21"/>
          <w:szCs w:val="21"/>
        </w:rPr>
        <w:t xml:space="preserve">Besucher der Websites, Landingpages und Funnels des Auftraggebers</w:t>
      </w:r>
    </w:p>
    <w:p>
      <w:pPr>
        <w:pStyle w:val="ListParagraph"/>
        <w:numPr>
          <w:ilvl w:val="0"/>
          <w:numId w:val="2"/>
        </w:numPr>
        <w:spacing w:after="60" w:line="290"/>
        <w:jc w:val="both"/>
      </w:pPr>
      <w:r>
        <w:rPr>
          <w:rFonts w:ascii="Satoshi" w:cs="Satoshi" w:eastAsia="Satoshi" w:hAnsi="Satoshi"/>
          <w:color w:val="221A2C"/>
          <w:sz w:val="21"/>
          <w:szCs w:val="21"/>
        </w:rPr>
        <w:t xml:space="preserve">Teilnehmende an Kursen, Programmen und Veranstaltungen des Auftraggebers</w:t>
      </w:r>
    </w:p>
    <w:p>
      <w:pPr>
        <w:pStyle w:val="ListParagraph"/>
        <w:numPr>
          <w:ilvl w:val="0"/>
          <w:numId w:val="2"/>
        </w:numPr>
        <w:spacing w:after="60" w:line="290"/>
        <w:jc w:val="both"/>
      </w:pPr>
      <w:r>
        <w:rPr>
          <w:rFonts w:ascii="Satoshi" w:cs="Satoshi" w:eastAsia="Satoshi" w:hAnsi="Satoshi"/>
          <w:color w:val="221A2C"/>
          <w:sz w:val="21"/>
          <w:szCs w:val="21"/>
        </w:rPr>
        <w:t xml:space="preserve">Gäste und Mitwirkende bei Podcast- und Videoproduktionen</w:t>
      </w:r>
    </w:p>
    <w:p>
      <w:pPr>
        <w:pStyle w:val="ListParagraph"/>
        <w:numPr>
          <w:ilvl w:val="0"/>
          <w:numId w:val="2"/>
        </w:numPr>
        <w:spacing w:after="60" w:line="290"/>
        <w:jc w:val="both"/>
      </w:pPr>
      <w:r>
        <w:rPr>
          <w:rFonts w:ascii="Satoshi" w:cs="Satoshi" w:eastAsia="Satoshi" w:hAnsi="Satoshi"/>
          <w:color w:val="221A2C"/>
          <w:sz w:val="21"/>
          <w:szCs w:val="21"/>
        </w:rPr>
        <w:t xml:space="preserve">Beschäftigte und Beauftragte des Auftraggebers (im Rahmen von Zugängen und Zusammenarbeit)</w:t>
      </w:r>
    </w:p>
    <w:p>
      <w:pPr>
        <w:keepNext/>
        <w:spacing w:after="100" w:before="260"/>
      </w:pPr>
      <w:r>
        <w:rPr>
          <w:rFonts w:ascii="Ranade" w:cs="Ranade" w:eastAsia="Ranade" w:hAnsi="Ranade"/>
          <w:b/>
          <w:bCs/>
          <w:color w:val="0B0710"/>
          <w:sz w:val="22"/>
          <w:szCs w:val="22"/>
        </w:rPr>
        <w:t xml:space="preserve">5. Kategorien personenbezogener Daten</w:t>
      </w:r>
    </w:p>
    <w:p>
      <w:pPr>
        <w:pStyle w:val="ListParagraph"/>
        <w:numPr>
          <w:ilvl w:val="0"/>
          <w:numId w:val="2"/>
        </w:numPr>
        <w:spacing w:after="60" w:line="290"/>
        <w:jc w:val="both"/>
      </w:pPr>
      <w:r>
        <w:rPr>
          <w:rFonts w:ascii="Satoshi" w:cs="Satoshi" w:eastAsia="Satoshi" w:hAnsi="Satoshi"/>
          <w:color w:val="221A2C"/>
          <w:sz w:val="21"/>
          <w:szCs w:val="21"/>
        </w:rPr>
        <w:t xml:space="preserve">Stammdaten (Name, Anrede, ggf. Firma und Position)</w:t>
      </w:r>
    </w:p>
    <w:p>
      <w:pPr>
        <w:pStyle w:val="ListParagraph"/>
        <w:numPr>
          <w:ilvl w:val="0"/>
          <w:numId w:val="2"/>
        </w:numPr>
        <w:spacing w:after="60" w:line="290"/>
        <w:jc w:val="both"/>
      </w:pPr>
      <w:r>
        <w:rPr>
          <w:rFonts w:ascii="Satoshi" w:cs="Satoshi" w:eastAsia="Satoshi" w:hAnsi="Satoshi"/>
          <w:color w:val="221A2C"/>
          <w:sz w:val="21"/>
          <w:szCs w:val="21"/>
        </w:rPr>
        <w:t xml:space="preserve">Kontaktdaten (E-Mail-Adresse, Telefonnummer, Adresse)</w:t>
      </w:r>
    </w:p>
    <w:p>
      <w:pPr>
        <w:pStyle w:val="ListParagraph"/>
        <w:numPr>
          <w:ilvl w:val="0"/>
          <w:numId w:val="2"/>
        </w:numPr>
        <w:spacing w:after="60" w:line="290"/>
        <w:jc w:val="both"/>
      </w:pPr>
      <w:r>
        <w:rPr>
          <w:rFonts w:ascii="Satoshi" w:cs="Satoshi" w:eastAsia="Satoshi" w:hAnsi="Satoshi"/>
          <w:color w:val="221A2C"/>
          <w:sz w:val="21"/>
          <w:szCs w:val="21"/>
        </w:rPr>
        <w:t xml:space="preserve">Angaben aus Formularen, Fragebögen und Quiz-Funnels (z. B. Ziele, Interessen, Antworten)</w:t>
      </w:r>
    </w:p>
    <w:p>
      <w:pPr>
        <w:pStyle w:val="ListParagraph"/>
        <w:numPr>
          <w:ilvl w:val="0"/>
          <w:numId w:val="2"/>
        </w:numPr>
        <w:spacing w:after="60" w:line="290"/>
        <w:jc w:val="both"/>
      </w:pPr>
      <w:r>
        <w:rPr>
          <w:rFonts w:ascii="Satoshi" w:cs="Satoshi" w:eastAsia="Satoshi" w:hAnsi="Satoshi"/>
          <w:color w:val="221A2C"/>
          <w:sz w:val="21"/>
          <w:szCs w:val="21"/>
        </w:rPr>
        <w:t xml:space="preserve">Termin- und Buchungsdaten</w:t>
      </w:r>
    </w:p>
    <w:p>
      <w:pPr>
        <w:pStyle w:val="ListParagraph"/>
        <w:numPr>
          <w:ilvl w:val="0"/>
          <w:numId w:val="2"/>
        </w:numPr>
        <w:spacing w:after="60" w:line="290"/>
        <w:jc w:val="both"/>
      </w:pPr>
      <w:r>
        <w:rPr>
          <w:rFonts w:ascii="Satoshi" w:cs="Satoshi" w:eastAsia="Satoshi" w:hAnsi="Satoshi"/>
          <w:color w:val="221A2C"/>
          <w:sz w:val="21"/>
          <w:szCs w:val="21"/>
        </w:rPr>
        <w:t xml:space="preserve">Kommunikationsdaten (E-Mail-Verkehr, Nachrichten, Gesprächsnotizen)</w:t>
      </w:r>
    </w:p>
    <w:p>
      <w:pPr>
        <w:pStyle w:val="ListParagraph"/>
        <w:numPr>
          <w:ilvl w:val="0"/>
          <w:numId w:val="2"/>
        </w:numPr>
        <w:spacing w:after="60" w:line="290"/>
        <w:jc w:val="both"/>
      </w:pPr>
      <w:r>
        <w:rPr>
          <w:rFonts w:ascii="Satoshi" w:cs="Satoshi" w:eastAsia="Satoshi" w:hAnsi="Satoshi"/>
          <w:color w:val="221A2C"/>
          <w:sz w:val="21"/>
          <w:szCs w:val="21"/>
        </w:rPr>
        <w:t xml:space="preserve">Vertrags- und Bestelldaten des Auftraggebers gegenüber seinen Kunden (z. B. gebuchtes Angebot, Status); keine vollständigen Zahlungsdaten</w:t>
      </w:r>
    </w:p>
    <w:p>
      <w:pPr>
        <w:pStyle w:val="ListParagraph"/>
        <w:numPr>
          <w:ilvl w:val="0"/>
          <w:numId w:val="2"/>
        </w:numPr>
        <w:spacing w:after="60" w:line="290"/>
        <w:jc w:val="both"/>
      </w:pPr>
      <w:r>
        <w:rPr>
          <w:rFonts w:ascii="Satoshi" w:cs="Satoshi" w:eastAsia="Satoshi" w:hAnsi="Satoshi"/>
          <w:color w:val="221A2C"/>
          <w:sz w:val="21"/>
          <w:szCs w:val="21"/>
        </w:rPr>
        <w:t xml:space="preserve">Nutzungs- und Messdaten (z. B. Seitenaufrufe, Klicks, Conversion-Ereignisse, IP-Adresse, Geräteinformationen)</w:t>
      </w:r>
    </w:p>
    <w:p>
      <w:pPr>
        <w:pStyle w:val="ListParagraph"/>
        <w:numPr>
          <w:ilvl w:val="0"/>
          <w:numId w:val="2"/>
        </w:numPr>
        <w:spacing w:after="60" w:line="290"/>
        <w:jc w:val="both"/>
      </w:pPr>
      <w:r>
        <w:rPr>
          <w:rFonts w:ascii="Satoshi" w:cs="Satoshi" w:eastAsia="Satoshi" w:hAnsi="Satoshi"/>
          <w:color w:val="221A2C"/>
          <w:sz w:val="21"/>
          <w:szCs w:val="21"/>
        </w:rPr>
        <w:t xml:space="preserve">Bild-, Ton- und Videoaufnahmen (im Rahmen von Produktionen)</w:t>
      </w:r>
    </w:p>
    <w:p>
      <w:pPr>
        <w:keepNext/>
        <w:spacing w:after="100" w:before="260"/>
      </w:pPr>
      <w:r>
        <w:rPr>
          <w:rFonts w:ascii="Ranade" w:cs="Ranade" w:eastAsia="Ranade" w:hAnsi="Ranade"/>
          <w:b/>
          <w:bCs/>
          <w:color w:val="0B0710"/>
          <w:sz w:val="22"/>
          <w:szCs w:val="22"/>
        </w:rPr>
        <w:t xml:space="preserve">6. Besondere Kategorien personenbezogener Daten (Art. 9 DSGVO)</w:t>
      </w:r>
    </w:p>
    <w:p>
      <w:pPr>
        <w:spacing w:after="120" w:line="300"/>
        <w:jc w:val="both"/>
      </w:pPr>
      <w:r>
        <w:rPr>
          <w:rFonts w:ascii="Satoshi" w:cs="Satoshi" w:eastAsia="Satoshi" w:hAnsi="Satoshi"/>
          <w:color w:val="221A2C"/>
          <w:sz w:val="21"/>
          <w:szCs w:val="21"/>
        </w:rPr>
        <w:t xml:space="preserve">Besondere Kategorien personenbezogener Daten sind nicht Gegenstand des Auftrags. Sollen ausnahmsweise besondere Kategorien verarbeitet werden (z. B. Gesundheitsdaten bei Angeboten im Gesundheitsbereich), ist dies vor Beginn der Verarbeitung gesondert zu vereinbaren; die Eintragung erfolgt in Annex 1 der englischen Fassung.</w:t>
      </w:r>
    </w:p>
    <w:p>
      <w:pPr>
        <w:keepNext/>
        <w:spacing w:after="100" w:before="260"/>
      </w:pPr>
      <w:r>
        <w:rPr>
          <w:rFonts w:ascii="Ranade" w:cs="Ranade" w:eastAsia="Ranade" w:hAnsi="Ranade"/>
          <w:b/>
          <w:bCs/>
          <w:color w:val="0B0710"/>
          <w:sz w:val="22"/>
          <w:szCs w:val="22"/>
        </w:rPr>
        <w:t xml:space="preserve">7. Dauer der Verarbeitung</w:t>
      </w:r>
    </w:p>
    <w:p>
      <w:pPr>
        <w:spacing w:after="120" w:line="300"/>
        <w:jc w:val="both"/>
      </w:pPr>
      <w:r>
        <w:rPr>
          <w:rFonts w:ascii="Satoshi" w:cs="Satoshi" w:eastAsia="Satoshi" w:hAnsi="Satoshi"/>
          <w:color w:val="221A2C"/>
          <w:sz w:val="21"/>
          <w:szCs w:val="21"/>
        </w:rPr>
        <w:t xml:space="preserve">Die Dauer entspricht der Laufzeit des Hauptvertrags (§ 1 Abs. 2 dieser Vereinbarung).</w:t>
      </w:r>
    </w:p>
    <w:p>
      <w:pPr>
        <w:pageBreakBefore/>
        <w:spacing w:after="200" w:before="0"/>
      </w:pPr>
      <w:r>
        <w:rPr>
          <w:rFonts w:ascii="Ranade" w:cs="Ranade" w:eastAsia="Ranade" w:hAnsi="Ranade"/>
          <w:b/>
          <w:bCs/>
          <w:color w:val="0B0710"/>
          <w:sz w:val="32"/>
          <w:szCs w:val="32"/>
        </w:rPr>
        <w:t xml:space="preserve">Anlage 2: Technische und organisatorische Maßnahmen (Lesefassung)</w:t>
      </w:r>
    </w:p>
    <w:p>
      <w:pPr>
        <w:spacing w:after="120" w:line="300"/>
        <w:jc w:val="both"/>
      </w:pPr>
      <w:r>
        <w:rPr>
          <w:rFonts w:ascii="Satoshi" w:cs="Satoshi" w:eastAsia="Satoshi" w:hAnsi="Satoshi"/>
          <w:color w:val="221A2C"/>
          <w:sz w:val="21"/>
          <w:szCs w:val="21"/>
        </w:rPr>
        <w:t xml:space="preserve">Der Auftragnehmer arbeitet als vollständig digitale Agentur ohne eigene Serverinfrastruktur. Die Verarbeitung erfolgt auf verwalteten Cloud-Plattformen professioneller Anbieter (siehe Anlage 3) sowie auf gesicherten Arbeitsgeräten. Stand: August 2026.</w:t>
      </w:r>
    </w:p>
    <w:p>
      <w:pPr>
        <w:keepNext/>
        <w:spacing w:after="100" w:before="260"/>
      </w:pPr>
      <w:r>
        <w:rPr>
          <w:rFonts w:ascii="Ranade" w:cs="Ranade" w:eastAsia="Ranade" w:hAnsi="Ranade"/>
          <w:b/>
          <w:bCs/>
          <w:color w:val="0B0710"/>
          <w:sz w:val="22"/>
          <w:szCs w:val="22"/>
        </w:rPr>
        <w:t xml:space="preserve">1. Vertraulichkeit (Art. 32 Abs. 1 lit. b DSGVO)</w:t>
      </w:r>
    </w:p>
    <w:p>
      <w:pPr>
        <w:pStyle w:val="ListParagraph"/>
        <w:numPr>
          <w:ilvl w:val="0"/>
          <w:numId w:val="2"/>
        </w:numPr>
        <w:spacing w:after="60" w:line="290"/>
        <w:jc w:val="both"/>
      </w:pPr>
      <w:r>
        <w:rPr>
          <w:rFonts w:ascii="Satoshi" w:cs="Satoshi" w:eastAsia="Satoshi" w:hAnsi="Satoshi"/>
          <w:b/>
          <w:bCs/>
          <w:color w:val="221A2C"/>
          <w:sz w:val="21"/>
          <w:szCs w:val="21"/>
        </w:rPr>
        <w:t xml:space="preserve">Zugangskontrolle: </w:t>
      </w:r>
      <w:r>
        <w:rPr>
          <w:rFonts w:ascii="Satoshi" w:cs="Satoshi" w:eastAsia="Satoshi" w:hAnsi="Satoshi"/>
          <w:color w:val="221A2C"/>
          <w:sz w:val="21"/>
          <w:szCs w:val="21"/>
        </w:rPr>
        <w:t xml:space="preserve">individuelle Benutzerkonten; starke, einmalige Passwörter mit Passwort-Manager; Zwei-Faktor-Authentifizierung für zentrale Systeme (CRM, Hosting, E-Mail, Werbekonten)</w:t>
      </w:r>
    </w:p>
    <w:p>
      <w:pPr>
        <w:pStyle w:val="ListParagraph"/>
        <w:numPr>
          <w:ilvl w:val="0"/>
          <w:numId w:val="2"/>
        </w:numPr>
        <w:spacing w:after="60" w:line="290"/>
        <w:jc w:val="both"/>
      </w:pPr>
      <w:r>
        <w:rPr>
          <w:rFonts w:ascii="Satoshi" w:cs="Satoshi" w:eastAsia="Satoshi" w:hAnsi="Satoshi"/>
          <w:b/>
          <w:bCs/>
          <w:color w:val="221A2C"/>
          <w:sz w:val="21"/>
          <w:szCs w:val="21"/>
        </w:rPr>
        <w:t xml:space="preserve">Zugriffskontrolle: </w:t>
      </w:r>
      <w:r>
        <w:rPr>
          <w:rFonts w:ascii="Satoshi" w:cs="Satoshi" w:eastAsia="Satoshi" w:hAnsi="Satoshi"/>
          <w:color w:val="221A2C"/>
          <w:sz w:val="21"/>
          <w:szCs w:val="21"/>
        </w:rPr>
        <w:t xml:space="preserve">Vergabe von Berechtigungen nach dem Need-to-know-Prinzip; Zugriff nur für Projektbeteiligte; unverzüglicher Entzug von Zugängen beim Ausscheiden von Mitarbeitenden</w:t>
      </w:r>
    </w:p>
    <w:p>
      <w:pPr>
        <w:pStyle w:val="ListParagraph"/>
        <w:numPr>
          <w:ilvl w:val="0"/>
          <w:numId w:val="2"/>
        </w:numPr>
        <w:spacing w:after="60" w:line="290"/>
        <w:jc w:val="both"/>
      </w:pPr>
      <w:r>
        <w:rPr>
          <w:rFonts w:ascii="Satoshi" w:cs="Satoshi" w:eastAsia="Satoshi" w:hAnsi="Satoshi"/>
          <w:b/>
          <w:bCs/>
          <w:color w:val="221A2C"/>
          <w:sz w:val="21"/>
          <w:szCs w:val="21"/>
        </w:rPr>
        <w:t xml:space="preserve">Trennungskontrolle: </w:t>
      </w:r>
      <w:r>
        <w:rPr>
          <w:rFonts w:ascii="Satoshi" w:cs="Satoshi" w:eastAsia="Satoshi" w:hAnsi="Satoshi"/>
          <w:color w:val="221A2C"/>
          <w:sz w:val="21"/>
          <w:szCs w:val="21"/>
        </w:rPr>
        <w:t xml:space="preserve">logische Mandantentrennung; je Kunde ein eigener CRM-Unteraccount und getrennte Ablagestrukturen</w:t>
      </w:r>
    </w:p>
    <w:p>
      <w:pPr>
        <w:pStyle w:val="ListParagraph"/>
        <w:numPr>
          <w:ilvl w:val="0"/>
          <w:numId w:val="2"/>
        </w:numPr>
        <w:spacing w:after="60" w:line="290"/>
        <w:jc w:val="both"/>
      </w:pPr>
      <w:r>
        <w:rPr>
          <w:rFonts w:ascii="Satoshi" w:cs="Satoshi" w:eastAsia="Satoshi" w:hAnsi="Satoshi"/>
          <w:b/>
          <w:bCs/>
          <w:color w:val="221A2C"/>
          <w:sz w:val="21"/>
          <w:szCs w:val="21"/>
        </w:rPr>
        <w:t xml:space="preserve">Gerätesicherheit: </w:t>
      </w:r>
      <w:r>
        <w:rPr>
          <w:rFonts w:ascii="Satoshi" w:cs="Satoshi" w:eastAsia="Satoshi" w:hAnsi="Satoshi"/>
          <w:color w:val="221A2C"/>
          <w:sz w:val="21"/>
          <w:szCs w:val="21"/>
        </w:rPr>
        <w:t xml:space="preserve">aktuelle Betriebssysteme und Sicherheitsupdates; vollständige Festplattenverschlüsselung; automatische Bildschirmsperre</w:t>
      </w:r>
    </w:p>
    <w:p>
      <w:pPr>
        <w:keepNext/>
        <w:spacing w:after="100" w:before="260"/>
      </w:pPr>
      <w:r>
        <w:rPr>
          <w:rFonts w:ascii="Ranade" w:cs="Ranade" w:eastAsia="Ranade" w:hAnsi="Ranade"/>
          <w:b/>
          <w:bCs/>
          <w:color w:val="0B0710"/>
          <w:sz w:val="22"/>
          <w:szCs w:val="22"/>
        </w:rPr>
        <w:t xml:space="preserve">2. Integrität (Art. 32 Abs. 1 lit. b DSGVO)</w:t>
      </w:r>
    </w:p>
    <w:p>
      <w:pPr>
        <w:pStyle w:val="ListParagraph"/>
        <w:numPr>
          <w:ilvl w:val="0"/>
          <w:numId w:val="2"/>
        </w:numPr>
        <w:spacing w:after="60" w:line="290"/>
        <w:jc w:val="both"/>
      </w:pPr>
      <w:r>
        <w:rPr>
          <w:rFonts w:ascii="Satoshi" w:cs="Satoshi" w:eastAsia="Satoshi" w:hAnsi="Satoshi"/>
          <w:b/>
          <w:bCs/>
          <w:color w:val="221A2C"/>
          <w:sz w:val="21"/>
          <w:szCs w:val="21"/>
        </w:rPr>
        <w:t xml:space="preserve">Weitergabekontrolle: </w:t>
      </w:r>
      <w:r>
        <w:rPr>
          <w:rFonts w:ascii="Satoshi" w:cs="Satoshi" w:eastAsia="Satoshi" w:hAnsi="Satoshi"/>
          <w:color w:val="221A2C"/>
          <w:sz w:val="21"/>
          <w:szCs w:val="21"/>
        </w:rPr>
        <w:t xml:space="preserve">Datenübertragung ausschließlich über verschlüsselte Verbindungen (TLS/HTTPS); kein Versand personenbezogener Daten auf unverschlüsselten Datenträgern</w:t>
      </w:r>
    </w:p>
    <w:p>
      <w:pPr>
        <w:pStyle w:val="ListParagraph"/>
        <w:numPr>
          <w:ilvl w:val="0"/>
          <w:numId w:val="2"/>
        </w:numPr>
        <w:spacing w:after="60" w:line="290"/>
        <w:jc w:val="both"/>
      </w:pPr>
      <w:r>
        <w:rPr>
          <w:rFonts w:ascii="Satoshi" w:cs="Satoshi" w:eastAsia="Satoshi" w:hAnsi="Satoshi"/>
          <w:b/>
          <w:bCs/>
          <w:color w:val="221A2C"/>
          <w:sz w:val="21"/>
          <w:szCs w:val="21"/>
        </w:rPr>
        <w:t xml:space="preserve">Eingabekontrolle: </w:t>
      </w:r>
      <w:r>
        <w:rPr>
          <w:rFonts w:ascii="Satoshi" w:cs="Satoshi" w:eastAsia="Satoshi" w:hAnsi="Satoshi"/>
          <w:color w:val="221A2C"/>
          <w:sz w:val="21"/>
          <w:szCs w:val="21"/>
        </w:rPr>
        <w:t xml:space="preserve">Nachvollziehbarkeit von Änderungen über Protokoll- und Aktivitätsfunktionen der eingesetzten Plattformen</w:t>
      </w:r>
    </w:p>
    <w:p>
      <w:pPr>
        <w:keepNext/>
        <w:spacing w:after="100" w:before="260"/>
      </w:pPr>
      <w:r>
        <w:rPr>
          <w:rFonts w:ascii="Ranade" w:cs="Ranade" w:eastAsia="Ranade" w:hAnsi="Ranade"/>
          <w:b/>
          <w:bCs/>
          <w:color w:val="0B0710"/>
          <w:sz w:val="22"/>
          <w:szCs w:val="22"/>
        </w:rPr>
        <w:t xml:space="preserve">3. Verfügbarkeit und Belastbarkeit (Art. 32 Abs. 1 lit. b und c DSGVO)</w:t>
      </w:r>
    </w:p>
    <w:p>
      <w:pPr>
        <w:pStyle w:val="ListParagraph"/>
        <w:numPr>
          <w:ilvl w:val="0"/>
          <w:numId w:val="2"/>
        </w:numPr>
        <w:spacing w:after="60" w:line="290"/>
        <w:jc w:val="both"/>
      </w:pPr>
      <w:r>
        <w:rPr>
          <w:rFonts w:ascii="Satoshi" w:cs="Satoshi" w:eastAsia="Satoshi" w:hAnsi="Satoshi"/>
          <w:color w:val="221A2C"/>
          <w:sz w:val="21"/>
          <w:szCs w:val="21"/>
        </w:rPr>
        <w:t xml:space="preserve">Speicherung in redundanten Rechenzentren der eingesetzten Cloud-Anbieter mit Backup-Konzepten</w:t>
      </w:r>
    </w:p>
    <w:p>
      <w:pPr>
        <w:pStyle w:val="ListParagraph"/>
        <w:numPr>
          <w:ilvl w:val="0"/>
          <w:numId w:val="2"/>
        </w:numPr>
        <w:spacing w:after="60" w:line="290"/>
        <w:jc w:val="both"/>
      </w:pPr>
      <w:r>
        <w:rPr>
          <w:rFonts w:ascii="Satoshi" w:cs="Satoshi" w:eastAsia="Satoshi" w:hAnsi="Satoshi"/>
          <w:color w:val="221A2C"/>
          <w:sz w:val="21"/>
          <w:szCs w:val="21"/>
        </w:rPr>
        <w:t xml:space="preserve">Wiederherstellbarkeit über Export- und Wiederherstellungsfunktionen der eingesetzten Plattformen</w:t>
      </w:r>
    </w:p>
    <w:p>
      <w:pPr>
        <w:keepNext/>
        <w:spacing w:after="100" w:before="260"/>
      </w:pPr>
      <w:r>
        <w:rPr>
          <w:rFonts w:ascii="Ranade" w:cs="Ranade" w:eastAsia="Ranade" w:hAnsi="Ranade"/>
          <w:b/>
          <w:bCs/>
          <w:color w:val="0B0710"/>
          <w:sz w:val="22"/>
          <w:szCs w:val="22"/>
        </w:rPr>
        <w:t xml:space="preserve">4. Verfahren zur regelmäßigen Überprüfung, Bewertung und Evaluierung (Art. 32 Abs. 1 lit. d DSGVO)</w:t>
      </w:r>
    </w:p>
    <w:p>
      <w:pPr>
        <w:pStyle w:val="ListParagraph"/>
        <w:numPr>
          <w:ilvl w:val="0"/>
          <w:numId w:val="2"/>
        </w:numPr>
        <w:spacing w:after="60" w:line="290"/>
        <w:jc w:val="both"/>
      </w:pPr>
      <w:r>
        <w:rPr>
          <w:rFonts w:ascii="Satoshi" w:cs="Satoshi" w:eastAsia="Satoshi" w:hAnsi="Satoshi"/>
          <w:color w:val="221A2C"/>
          <w:sz w:val="21"/>
          <w:szCs w:val="21"/>
        </w:rPr>
        <w:t xml:space="preserve">regelmäßige Überprüfung von Zugängen, Berechtigungen und eingesetzten Diensten</w:t>
      </w:r>
    </w:p>
    <w:p>
      <w:pPr>
        <w:pStyle w:val="ListParagraph"/>
        <w:numPr>
          <w:ilvl w:val="0"/>
          <w:numId w:val="2"/>
        </w:numPr>
        <w:spacing w:after="60" w:line="290"/>
        <w:jc w:val="both"/>
      </w:pPr>
      <w:r>
        <w:rPr>
          <w:rFonts w:ascii="Satoshi" w:cs="Satoshi" w:eastAsia="Satoshi" w:hAnsi="Satoshi"/>
          <w:color w:val="221A2C"/>
          <w:sz w:val="21"/>
          <w:szCs w:val="21"/>
        </w:rPr>
        <w:t xml:space="preserve">datenschutzfreundliche Auswahl von Unterauftragsverarbeitern; Abschluss von Verträgen zur Auftragsverarbeitung</w:t>
      </w:r>
    </w:p>
    <w:p>
      <w:pPr>
        <w:pStyle w:val="ListParagraph"/>
        <w:numPr>
          <w:ilvl w:val="0"/>
          <w:numId w:val="2"/>
        </w:numPr>
        <w:spacing w:after="60" w:line="290"/>
        <w:jc w:val="both"/>
      </w:pPr>
      <w:r>
        <w:rPr>
          <w:rFonts w:ascii="Satoshi" w:cs="Satoshi" w:eastAsia="Satoshi" w:hAnsi="Satoshi"/>
          <w:color w:val="221A2C"/>
          <w:sz w:val="21"/>
          <w:szCs w:val="21"/>
        </w:rPr>
        <w:t xml:space="preserve">Verpflichtung aller Mitarbeitenden und freien Mitarbeitenden auf Vertraulichkeit</w:t>
      </w:r>
    </w:p>
    <w:p>
      <w:pPr>
        <w:pStyle w:val="ListParagraph"/>
        <w:numPr>
          <w:ilvl w:val="0"/>
          <w:numId w:val="2"/>
        </w:numPr>
        <w:spacing w:after="60" w:line="290"/>
        <w:jc w:val="both"/>
      </w:pPr>
      <w:r>
        <w:rPr>
          <w:rFonts w:ascii="Satoshi" w:cs="Satoshi" w:eastAsia="Satoshi" w:hAnsi="Satoshi"/>
          <w:color w:val="221A2C"/>
          <w:sz w:val="21"/>
          <w:szCs w:val="21"/>
        </w:rPr>
        <w:t xml:space="preserve">geregelter Umgang mit Vorfällen nach § 9 dieser Vereinbarung (Meldung, Dokumentation, Abhilfe)</w:t>
      </w:r>
    </w:p>
    <w:p>
      <w:pPr>
        <w:pageBreakBefore/>
        <w:spacing w:after="200" w:before="0"/>
      </w:pPr>
      <w:r>
        <w:rPr>
          <w:rFonts w:ascii="Ranade" w:cs="Ranade" w:eastAsia="Ranade" w:hAnsi="Ranade"/>
          <w:b/>
          <w:bCs/>
          <w:color w:val="0B0710"/>
          <w:sz w:val="32"/>
          <w:szCs w:val="32"/>
        </w:rPr>
        <w:t xml:space="preserve">Anlage 3: Genehmigte Unterauftragsverarbeiter (Lesefassung)</w:t>
      </w:r>
    </w:p>
    <w:p>
      <w:pPr>
        <w:spacing w:after="120" w:line="300"/>
        <w:jc w:val="both"/>
      </w:pPr>
      <w:r>
        <w:rPr>
          <w:rFonts w:ascii="Satoshi" w:cs="Satoshi" w:eastAsia="Satoshi" w:hAnsi="Satoshi"/>
          <w:color w:val="221A2C"/>
          <w:sz w:val="21"/>
          <w:szCs w:val="21"/>
        </w:rPr>
        <w:t xml:space="preserve">Der Auftragnehmer setzt derzeit die folgenden Unterauftragsverarbeiter ein. Nicht jeder Unterauftragsverarbeiter kommt in jedem Projekt zum Einsatz; maßgeblich sind die im Hauptvertrag vereinbarten Leistungen.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CellMar>
          <w:top w:type="dxa" w:w="80"/>
          <w:left w:type="dxa" w:w="120"/>
          <w:bottom w:type="dxa" w:w="80"/>
          <w:right w:type="dxa" w:w="120"/>
        </w:tblCellMar>
      </w:tblPr>
      <w:tblGrid>
        <w:gridCol w:w="2500"/>
        <w:gridCol w:w="1900"/>
        <w:gridCol w:w="4626"/>
      </w:tblGrid>
      <w:tr>
        <w:trPr>
          <w:tblHeader/>
        </w:trPr>
        <w:tc>
          <w:tcPr>
            <w:tcW w:type="dxa" w:w="2500"/>
            <w:tcBorders>
              <w:top w:val="single" w:color="E7DFF0" w:sz="4"/>
              <w:left w:val="single" w:color="E7DFF0" w:sz="4"/>
              <w:bottom w:val="single" w:color="E7DFF0" w:sz="4"/>
              <w:right w:val="single" w:color="E7DFF0" w:sz="4"/>
            </w:tcBorders>
            <w:shd w:fill="0B0710" w:val="clear"/>
            <w:vAlign w:val="center"/>
          </w:tcPr>
          <w:p>
            <w:pPr>
              <w:spacing w:after="0"/>
            </w:pPr>
            <w:r>
              <w:rPr>
                <w:rFonts w:ascii="Ranade" w:cs="Ranade" w:eastAsia="Ranade" w:hAnsi="Ranade"/>
                <w:b/>
                <w:bCs/>
                <w:color w:val="FFFFFF"/>
                <w:sz w:val="19"/>
                <w:szCs w:val="19"/>
              </w:rPr>
              <w:t xml:space="preserve">Unternehmen</w:t>
            </w:r>
          </w:p>
        </w:tc>
        <w:tc>
          <w:tcPr>
            <w:tcW w:type="dxa" w:w="1900"/>
            <w:tcBorders>
              <w:top w:val="single" w:color="E7DFF0" w:sz="4"/>
              <w:left w:val="single" w:color="E7DFF0" w:sz="4"/>
              <w:bottom w:val="single" w:color="E7DFF0" w:sz="4"/>
              <w:right w:val="single" w:color="E7DFF0" w:sz="4"/>
            </w:tcBorders>
            <w:shd w:fill="0B0710" w:val="clear"/>
            <w:vAlign w:val="center"/>
          </w:tcPr>
          <w:p>
            <w:pPr>
              <w:spacing w:after="0"/>
            </w:pPr>
            <w:r>
              <w:rPr>
                <w:rFonts w:ascii="Ranade" w:cs="Ranade" w:eastAsia="Ranade" w:hAnsi="Ranade"/>
                <w:b/>
                <w:bCs/>
                <w:color w:val="FFFFFF"/>
                <w:sz w:val="19"/>
                <w:szCs w:val="19"/>
              </w:rPr>
              <w:t xml:space="preserve">Sitz</w:t>
            </w:r>
          </w:p>
        </w:tc>
        <w:tc>
          <w:tcPr>
            <w:tcW w:type="dxa" w:w="4626"/>
            <w:tcBorders>
              <w:top w:val="single" w:color="E7DFF0" w:sz="4"/>
              <w:left w:val="single" w:color="E7DFF0" w:sz="4"/>
              <w:bottom w:val="single" w:color="E7DFF0" w:sz="4"/>
              <w:right w:val="single" w:color="E7DFF0" w:sz="4"/>
            </w:tcBorders>
            <w:shd w:fill="0B0710" w:val="clear"/>
            <w:vAlign w:val="center"/>
          </w:tcPr>
          <w:p>
            <w:pPr>
              <w:spacing w:after="0"/>
            </w:pPr>
            <w:r>
              <w:rPr>
                <w:rFonts w:ascii="Ranade" w:cs="Ranade" w:eastAsia="Ranade" w:hAnsi="Ranade"/>
                <w:b/>
                <w:bCs/>
                <w:color w:val="FFFFFF"/>
                <w:sz w:val="19"/>
                <w:szCs w:val="19"/>
              </w:rPr>
              <w:t xml:space="preserve">Leistung</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HighLevel Inc.</w:t>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USA (Texas)</w:t>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CRM-Plattform, Formulare, Funnels, E-Mail-Versand, Terminbuchung; genutzt über die Whitelabel-Plattform FinSuites</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Cloudflare, Inc.</w:t>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USA (Kalifornien)</w:t>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Hosting und Auslieferung von Websites, Landingpages und Funnels (Pages, CDN, Sicherheitsdienste)</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Google LLC</w:t>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USA / Irland</w:t>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E-Mail, Kalender und Cloud-Speicher für Projektdateien (Google Workspace)</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Anthropic PBC</w:t>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USA (Kalifornien)</w:t>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KI-gestützte Unterstützung bei Text- und Contenterstellung (z. B. Verarbeitung von Transkripten und Briefings)</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Submagic</w:t>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Frankreich</w:t>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Videobearbeitung und automatische Untertitelung</w:t>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
            </w:r>
          </w:p>
        </w:tc>
      </w:tr>
      <w:tr>
        <w:trPr>
          <w:trHeight w:val="500" w:hRule="atLeast"/>
        </w:trPr>
        <w:tc>
          <w:tcPr>
            <w:tcW w:type="dxa" w:w="25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b/>
                <w:bCs/>
                <w:color w:val="221A2C"/>
                <w:sz w:val="19"/>
                <w:szCs w:val="19"/>
              </w:rPr>
              <w:t xml:space="preserve"/>
            </w:r>
          </w:p>
        </w:tc>
        <w:tc>
          <w:tcPr>
            <w:tcW w:type="dxa" w:w="1900"/>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
            </w:r>
          </w:p>
        </w:tc>
        <w:tc>
          <w:tcPr>
            <w:tcW w:type="dxa" w:w="4626"/>
            <w:tcBorders>
              <w:top w:val="single" w:color="E7DFF0" w:sz="4"/>
              <w:left w:val="single" w:color="E7DFF0" w:sz="4"/>
              <w:bottom w:val="single" w:color="E7DFF0" w:sz="4"/>
              <w:right w:val="single" w:color="E7DFF0" w:sz="4"/>
            </w:tcBorders>
            <w:vAlign w:val="center"/>
          </w:tcPr>
          <w:p>
            <w:pPr>
              <w:spacing w:after="0" w:line="260"/>
            </w:pPr>
            <w:r>
              <w:rPr>
                <w:rFonts w:ascii="Satoshi" w:cs="Satoshi" w:eastAsia="Satoshi" w:hAnsi="Satoshi"/>
                <w:color w:val="221A2C"/>
                <w:sz w:val="19"/>
                <w:szCs w:val="19"/>
              </w:rPr>
              <w:t xml:space="preserve"/>
            </w:r>
          </w:p>
        </w:tc>
      </w:tr>
    </w:tbl>
    <w:p>
      <w:pPr>
        <w:spacing w:after="160"/>
      </w:pPr>
    </w:p>
    <w:p>
      <w:pPr>
        <w:spacing w:after="120" w:line="300"/>
        <w:jc w:val="both"/>
      </w:pPr>
      <w:r>
        <w:rPr>
          <w:rFonts w:ascii="Satoshi" w:cs="Satoshi" w:eastAsia="Satoshi" w:hAnsi="Satoshi"/>
          <w:b/>
          <w:bCs/>
          <w:color w:val="221A2C"/>
          <w:sz w:val="21"/>
          <w:szCs w:val="21"/>
        </w:rPr>
        <w:t xml:space="preserve">Hinweis: </w:t>
      </w:r>
      <w:r>
        <w:rPr>
          <w:rFonts w:ascii="Satoshi" w:cs="Satoshi" w:eastAsia="Satoshi" w:hAnsi="Satoshi"/>
          <w:color w:val="221A2C"/>
          <w:sz w:val="21"/>
          <w:szCs w:val="21"/>
        </w:rPr>
        <w:t xml:space="preserve">Dienste, die der Auftraggeber in eigener Verantwortung nutzt oder selbst beauftragt hat (z. B. das eigene Meta-Werbekonto, Zahlungsdienstleister wie Stripe oder PayPal oder die eigene Kursplattform), sind keine Unterauftragsverarbeiter des Auftragnehmers. Für das Meta-Werbekonto gelten die Vereinbarungen zwischen dem Auftraggeber und Meta, einschließlich der Vereinbarung über die gemeinsame Verantwortlichkeit nach Art. 26 DSGVO.</w:t>
      </w:r>
    </w:p>
    <w:sectPr>
      <w:footerReference w:type="default" r:id="rId7"/>
      <w:footerReference w:type="first" r:id="rId8"/>
      <w:pgSz w:w="11906" w:h="16838" w:orient="portrait"/>
      <w:pgMar w:top="1280" w:right="1440" w:bottom="136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7DFF0" w:sz="4"/>
      </w:pBdr>
      <w:spacing w:after="0" w:before="120"/>
    </w:pPr>
    <w:r>
      <w:rPr>
        <w:rFonts w:ascii="Satoshi" w:cs="Satoshi" w:eastAsia="Satoshi" w:hAnsi="Satoshi"/>
        <w:color w:val="6E6280"/>
        <w:sz w:val="15"/>
        <w:szCs w:val="15"/>
      </w:rPr>
      <w:t xml:space="preserve">Best Life Agency LLC · Data Processing Agreement (Art. 28 GDPR) / AVV · August 2026</w:t>
    </w:r>
    <w:r>
      <w:rPr>
        <w:rFonts w:ascii="Satoshi" w:cs="Satoshi" w:eastAsia="Satoshi" w:hAnsi="Satoshi"/>
        <w:color w:val="6E6280"/>
        <w:sz w:val="15"/>
        <w:szCs w:val="15"/>
      </w:rPr>
      <w:ptab w:alignment="right" w:relativeTo="margin" w:leader="none"/>
      <w:t xml:space="preserve">Page </w:t>
    </w:r>
    <w:r>
      <w:rPr>
        <w:rFonts w:ascii="Satoshi" w:cs="Satoshi" w:eastAsia="Satoshi" w:hAnsi="Satoshi"/>
        <w:color w:val="6E6280"/>
        <w:sz w:val="15"/>
        <w:szCs w:val="15"/>
      </w:rPr>
      <w:fldChar w:fldCharType="begin"/>
      <w:instrText xml:space="preserve">PAGE</w:instrText>
      <w:fldChar w:fldCharType="separate"/>
      <w:fldChar w:fldCharType="end"/>
    </w:r>
    <w:r>
      <w:rPr>
        <w:rFonts w:ascii="Satoshi" w:cs="Satoshi" w:eastAsia="Satoshi" w:hAnsi="Satoshi"/>
        <w:color w:val="6E6280"/>
        <w:sz w:val="15"/>
        <w:szCs w:val="15"/>
      </w:rPr>
      <w:t xml:space="preserve"> of </w:t>
    </w:r>
    <w:r>
      <w:rPr>
        <w:rFonts w:ascii="Satoshi" w:cs="Satoshi" w:eastAsia="Satoshi" w:hAnsi="Satoshi"/>
        <w:color w:val="6E6280"/>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8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atoshi" w:cs="Satoshi" w:eastAsia="Satoshi" w:hAnsi="Satoshi"/>
        <w:color w:val="221A2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d2marodflslfz6jym4fet" Type="http://schemas.openxmlformats.org/officeDocument/2006/relationships/hyperlink" Target="https://eur-lex.europa.eu/eli/dec_impl/2021/914/oj" TargetMode="External"/><Relationship Id="rIdoiuegg83kjtge-gjbm_p-" Type="http://schemas.openxmlformats.org/officeDocument/2006/relationships/hyperlink" Target="https://eur-lex.europa.eu/eli/dec_impl/2021/914/oj" TargetMode="External"/><Relationship Id="rId9" Type="http://schemas.openxmlformats.org/officeDocument/2006/relationships/image" Target="media/9961d463ed50d83d11ba000b16e0814a959de4f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(DPA/AVV) · Best Life Agency LLC</dc:title>
  <dc:creator>Best Life Agency LLC</dc:creator>
  <dc:description>Template: Data Processing Agreement pursuant to Art. 28 GDPR, English with German convenience translation</dc:description>
  <cp:lastModifiedBy>Un-named</cp:lastModifiedBy>
  <cp:revision>1</cp:revision>
  <dcterms:created xsi:type="dcterms:W3CDTF">2026-08-17T12:03:18.199Z</dcterms:created>
  <dcterms:modified xsi:type="dcterms:W3CDTF">2026-08-17T12:03:18.204Z</dcterms:modified>
</cp:coreProperties>
</file>

<file path=docProps/custom.xml><?xml version="1.0" encoding="utf-8"?>
<Properties xmlns="http://schemas.openxmlformats.org/officeDocument/2006/custom-properties" xmlns:vt="http://schemas.openxmlformats.org/officeDocument/2006/docPropsVTypes"/>
</file>